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870165">
        <w:rPr>
          <w:rFonts w:asciiTheme="minorHAnsi" w:hAnsiTheme="minorHAnsi"/>
          <w:color w:val="000000"/>
          <w:sz w:val="22"/>
          <w:szCs w:val="22"/>
        </w:rPr>
        <w:t>24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A05D11">
        <w:rPr>
          <w:rFonts w:asciiTheme="minorHAnsi" w:hAnsiTheme="minorHAnsi"/>
          <w:color w:val="000000"/>
          <w:sz w:val="22"/>
          <w:szCs w:val="22"/>
        </w:rPr>
        <w:t>12</w:t>
      </w:r>
      <w:r w:rsidR="006D7A47">
        <w:rPr>
          <w:rFonts w:asciiTheme="minorHAnsi" w:hAnsiTheme="minorHAnsi"/>
          <w:color w:val="000000"/>
          <w:sz w:val="22"/>
          <w:szCs w:val="22"/>
        </w:rPr>
        <w:t>.201</w:t>
      </w:r>
      <w:r w:rsidR="00A05D11">
        <w:rPr>
          <w:rFonts w:asciiTheme="minorHAnsi" w:hAnsiTheme="minorHAnsi"/>
          <w:color w:val="000000"/>
          <w:sz w:val="22"/>
          <w:szCs w:val="22"/>
        </w:rPr>
        <w:t>9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05D11" w:rsidRPr="00A05D11">
        <w:rPr>
          <w:rFonts w:ascii="Calibri" w:eastAsiaTheme="minorHAnsi" w:hAnsi="Calibri" w:cs="Calibri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05D11">
        <w:rPr>
          <w:rFonts w:asciiTheme="minorHAnsi" w:hAnsiTheme="minorHAnsi"/>
          <w:b/>
          <w:sz w:val="22"/>
          <w:szCs w:val="22"/>
        </w:rPr>
        <w:t>21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42 675- 7</w:t>
      </w:r>
      <w:r w:rsidR="00A05D1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D11">
        <w:rPr>
          <w:rFonts w:asciiTheme="minorHAnsi" w:hAnsiTheme="minorHAnsi"/>
          <w:sz w:val="22"/>
          <w:szCs w:val="22"/>
        </w:rPr>
        <w:t>33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(należy wpisać nr pakietu, na który składana jest oferta)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09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01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”.</w:t>
      </w:r>
    </w:p>
    <w:p w:rsidR="00C9411E" w:rsidRDefault="00B0183B">
      <w:pPr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 sekretariacie Szpitala - pok. 216 (parter, budynek A-3) w Łodzi przy ul. Pomorskiej 251.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09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10.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870165">
        <w:rPr>
          <w:rFonts w:asciiTheme="minorHAnsi" w:hAnsiTheme="minorHAnsi" w:cs="Arial"/>
          <w:b/>
          <w:bCs/>
          <w:color w:val="000000"/>
          <w:sz w:val="22"/>
          <w:szCs w:val="22"/>
        </w:rPr>
        <w:t>09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01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w pok. </w:t>
      </w:r>
      <w:r>
        <w:rPr>
          <w:rFonts w:asciiTheme="minorHAnsi" w:hAnsiTheme="minorHAnsi" w:cs="Arial"/>
          <w:color w:val="000000"/>
          <w:sz w:val="22"/>
          <w:szCs w:val="22"/>
        </w:rPr>
        <w:t>367</w:t>
      </w:r>
      <w:r>
        <w:rPr>
          <w:rFonts w:asciiTheme="minorHAnsi" w:hAnsiTheme="minorHAnsi" w:cs="Arial"/>
          <w:sz w:val="22"/>
          <w:szCs w:val="22"/>
        </w:rPr>
        <w:t xml:space="preserve"> Szpitala (poziom 0,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b) wypełniony i podpisany formularz cenowy stanowiący Załącznik nr 2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oświadczenie oferenta - Załącznik nr 3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przedmiotu konkursu, w tym min. 1 osoba ze specjalizacją z laboratoryjnej genetyki medycznej;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pełnomocnictwo (w oryginale lub uwierzytelnione przez radcę prawnego, adwokata, notariusza)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oświadczenie o prowadzeniu kontroli wewnątrzlaboratoryjnej i załączenie certyfikatów 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kontroli </w:t>
      </w:r>
      <w:proofErr w:type="spellStart"/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D252B9" w:rsidRPr="00D252B9" w:rsidRDefault="00A05D11" w:rsidP="00A05D11">
      <w:pPr>
        <w:ind w:left="708"/>
        <w:jc w:val="both"/>
        <w:rPr>
          <w:color w:val="00000A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k) podpisany projekt umowy Załącznik nr 4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870165">
        <w:rPr>
          <w:rFonts w:asciiTheme="minorHAnsi" w:hAnsiTheme="minorHAnsi"/>
          <w:sz w:val="22"/>
          <w:szCs w:val="22"/>
        </w:rPr>
        <w:t>24.</w:t>
      </w:r>
      <w:r w:rsidR="00A05D11">
        <w:rPr>
          <w:rFonts w:asciiTheme="minorHAnsi" w:hAnsiTheme="minorHAnsi"/>
          <w:sz w:val="22"/>
          <w:szCs w:val="22"/>
        </w:rPr>
        <w:t>12.2019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3E57D8"/>
    <w:rsid w:val="006D7A47"/>
    <w:rsid w:val="00870165"/>
    <w:rsid w:val="009D20F2"/>
    <w:rsid w:val="00A05D11"/>
    <w:rsid w:val="00B0183B"/>
    <w:rsid w:val="00C9411E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02BC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2</cp:revision>
  <cp:lastPrinted>2015-12-09T07:44:00Z</cp:lastPrinted>
  <dcterms:created xsi:type="dcterms:W3CDTF">2019-12-24T10:55:00Z</dcterms:created>
  <dcterms:modified xsi:type="dcterms:W3CDTF">2019-12-24T10:55:00Z</dcterms:modified>
  <dc:language>pl-PL</dc:language>
</cp:coreProperties>
</file>