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4DC70046" w:rsidR="00062409" w:rsidRPr="008E5577" w:rsidRDefault="00C1392B" w:rsidP="008A4C74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do dnia </w:t>
            </w:r>
            <w:r w:rsidR="00C1082B">
              <w:rPr>
                <w:rFonts w:ascii="Arial" w:hAnsi="Arial" w:cs="Arial"/>
                <w:bCs/>
                <w:color w:val="333333"/>
              </w:rPr>
              <w:t>2</w:t>
            </w:r>
            <w:r w:rsidR="008A4C74">
              <w:rPr>
                <w:rFonts w:ascii="Arial" w:hAnsi="Arial" w:cs="Arial"/>
                <w:bCs/>
                <w:color w:val="333333"/>
              </w:rPr>
              <w:t>7</w:t>
            </w:r>
            <w:r w:rsidR="00866A2B">
              <w:rPr>
                <w:rFonts w:ascii="Arial" w:hAnsi="Arial" w:cs="Arial"/>
                <w:bCs/>
                <w:color w:val="333333"/>
              </w:rPr>
              <w:t>.0</w:t>
            </w:r>
            <w:r w:rsidR="008A4C74">
              <w:rPr>
                <w:rFonts w:ascii="Arial" w:hAnsi="Arial" w:cs="Arial"/>
                <w:bCs/>
                <w:color w:val="333333"/>
              </w:rPr>
              <w:t>3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DF22607" w:rsidR="00995F6C" w:rsidRPr="008E5577" w:rsidRDefault="00BC1575" w:rsidP="000578A9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0578A9" w:rsidRPr="00110A8C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3D2C42" w:rsidRPr="008E5577">
              <w:rPr>
                <w:rStyle w:val="Hipercze"/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7D6FFDC" w:rsidR="00995F6C" w:rsidRPr="00FB6D63" w:rsidRDefault="000578A9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</w:t>
            </w:r>
            <w:r w:rsidRPr="00741413">
              <w:rPr>
                <w:rFonts w:ascii="Arial" w:hAnsi="Arial" w:cs="Arial"/>
              </w:rPr>
              <w:t>.kotynia@csk.umed.pl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E3A3251" w:rsidR="00995F6C" w:rsidRPr="00FB6D63" w:rsidRDefault="000578A9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Agnieszka Kotynia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lastRenderedPageBreak/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lastRenderedPageBreak/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bookmarkStart w:id="0" w:name="_GoBack"/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</w:t>
            </w:r>
            <w:bookmarkEnd w:id="0"/>
            <w:r w:rsidRPr="00405157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lastRenderedPageBreak/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95CA8" w14:textId="77777777" w:rsidR="00E24B39" w:rsidRDefault="00E24B39" w:rsidP="00177958">
      <w:r>
        <w:separator/>
      </w:r>
    </w:p>
  </w:endnote>
  <w:endnote w:type="continuationSeparator" w:id="0">
    <w:p w14:paraId="4F3B5821" w14:textId="77777777" w:rsidR="00E24B39" w:rsidRDefault="00E24B39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D426" w14:textId="77777777" w:rsidR="00E24B39" w:rsidRDefault="00E24B39" w:rsidP="00177958">
      <w:r>
        <w:separator/>
      </w:r>
    </w:p>
  </w:footnote>
  <w:footnote w:type="continuationSeparator" w:id="0">
    <w:p w14:paraId="18C934EF" w14:textId="77777777" w:rsidR="00E24B39" w:rsidRDefault="00E24B39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77CF9"/>
    <w:rsid w:val="000919E7"/>
    <w:rsid w:val="000E1A8D"/>
    <w:rsid w:val="00103ECA"/>
    <w:rsid w:val="001071BD"/>
    <w:rsid w:val="001126E9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522EF"/>
    <w:rsid w:val="004A0D57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31516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857E5"/>
    <w:rsid w:val="00B92B6B"/>
    <w:rsid w:val="00B96162"/>
    <w:rsid w:val="00BC1575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3D75-6852-465E-A385-AD8A970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3</cp:revision>
  <cp:lastPrinted>2019-01-18T10:28:00Z</cp:lastPrinted>
  <dcterms:created xsi:type="dcterms:W3CDTF">2019-03-18T21:01:00Z</dcterms:created>
  <dcterms:modified xsi:type="dcterms:W3CDTF">2019-03-19T11:57:00Z</dcterms:modified>
</cp:coreProperties>
</file>