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820"/>
        <w:gridCol w:w="1417"/>
        <w:gridCol w:w="1809"/>
      </w:tblGrid>
      <w:tr w:rsidR="00626745" w:rsidRPr="00903E75" w:rsidTr="00626745">
        <w:trPr>
          <w:jc w:val="center"/>
        </w:trPr>
        <w:tc>
          <w:tcPr>
            <w:tcW w:w="1134" w:type="dxa"/>
          </w:tcPr>
          <w:p w:rsidR="00626745" w:rsidRPr="00903E75" w:rsidRDefault="00626745" w:rsidP="0004005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626745" w:rsidRPr="00903E75" w:rsidRDefault="00626745" w:rsidP="0004005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417" w:type="dxa"/>
          </w:tcPr>
          <w:p w:rsidR="00626745" w:rsidRPr="00903E75" w:rsidRDefault="00626745" w:rsidP="0004005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809" w:type="dxa"/>
          </w:tcPr>
          <w:p w:rsidR="00626745" w:rsidRPr="00903E75" w:rsidRDefault="00626745" w:rsidP="0004005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podpis</w:t>
            </w:r>
          </w:p>
        </w:tc>
      </w:tr>
      <w:tr w:rsidR="00626745" w:rsidRPr="00903E75" w:rsidTr="00626745">
        <w:trPr>
          <w:trHeight w:val="454"/>
          <w:jc w:val="center"/>
        </w:trPr>
        <w:tc>
          <w:tcPr>
            <w:tcW w:w="1134" w:type="dxa"/>
            <w:vAlign w:val="center"/>
          </w:tcPr>
          <w:p w:rsidR="00626745" w:rsidRPr="00903E75" w:rsidRDefault="00626745" w:rsidP="0004005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opracował</w:t>
            </w:r>
          </w:p>
        </w:tc>
        <w:tc>
          <w:tcPr>
            <w:tcW w:w="4820" w:type="dxa"/>
            <w:vAlign w:val="center"/>
          </w:tcPr>
          <w:p w:rsidR="00626745" w:rsidRDefault="00626745" w:rsidP="0004005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Lek. med. 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Aleksandr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 Aulich</w:t>
            </w:r>
          </w:p>
          <w:p w:rsidR="00626745" w:rsidRPr="00EC339F" w:rsidRDefault="00626745" w:rsidP="0004005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EC339F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Lekarz – Zakład Medycyny Nuklearnej </w:t>
            </w:r>
          </w:p>
        </w:tc>
        <w:tc>
          <w:tcPr>
            <w:tcW w:w="1417" w:type="dxa"/>
            <w:vAlign w:val="center"/>
          </w:tcPr>
          <w:p w:rsidR="00626745" w:rsidRPr="00903E75" w:rsidRDefault="00626745" w:rsidP="0004005A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626745" w:rsidRPr="00903E75" w:rsidRDefault="00626745" w:rsidP="0004005A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</w:tr>
      <w:tr w:rsidR="00626745" w:rsidRPr="00903E75" w:rsidTr="00626745">
        <w:trPr>
          <w:trHeight w:val="454"/>
          <w:jc w:val="center"/>
        </w:trPr>
        <w:tc>
          <w:tcPr>
            <w:tcW w:w="1134" w:type="dxa"/>
            <w:vAlign w:val="center"/>
          </w:tcPr>
          <w:p w:rsidR="00626745" w:rsidRPr="00903E75" w:rsidRDefault="00626745" w:rsidP="0004005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zatwierdził</w:t>
            </w:r>
          </w:p>
        </w:tc>
        <w:tc>
          <w:tcPr>
            <w:tcW w:w="4820" w:type="dxa"/>
            <w:vAlign w:val="center"/>
          </w:tcPr>
          <w:p w:rsidR="00626745" w:rsidRPr="00903E75" w:rsidRDefault="00626745" w:rsidP="0004005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b/>
                <w:sz w:val="20"/>
                <w:szCs w:val="20"/>
                <w:lang w:val="en-AU" w:eastAsia="pl-PL"/>
              </w:rPr>
              <w:t xml:space="preserve">prof. dr hab. n. med. 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Zbigniew Adamczewski - 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Kierownik</w:t>
            </w:r>
            <w:r w:rsidRPr="00903E75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Zakładu Medycyny Nuklearnej</w:t>
            </w:r>
          </w:p>
        </w:tc>
        <w:tc>
          <w:tcPr>
            <w:tcW w:w="1417" w:type="dxa"/>
            <w:vAlign w:val="center"/>
          </w:tcPr>
          <w:p w:rsidR="00626745" w:rsidRPr="00903E75" w:rsidRDefault="00626745" w:rsidP="0004005A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626745" w:rsidRPr="00903E75" w:rsidRDefault="00626745" w:rsidP="0004005A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</w:tr>
    </w:tbl>
    <w:p w:rsidR="00481D1C" w:rsidRDefault="00481D1C" w:rsidP="00481D1C">
      <w:pPr>
        <w:pStyle w:val="Standard"/>
        <w:jc w:val="both"/>
        <w:rPr>
          <w:rFonts w:eastAsia="Times New Roman" w:cs="Times New Roman"/>
        </w:rPr>
      </w:pPr>
    </w:p>
    <w:p w:rsidR="00481D1C" w:rsidRDefault="00481D1C" w:rsidP="00481D1C">
      <w:pPr>
        <w:pStyle w:val="Standard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Cel badania:</w:t>
      </w:r>
    </w:p>
    <w:p w:rsidR="00481D1C" w:rsidRDefault="00481D1C" w:rsidP="00481D1C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Scyntygrafia IMIBG pozwala na wykrycie i lokalizację nowotworów neuroendokrynnych. Badanie znajduje zastosowanie w diagnostyce guzów chromochłonnych, </w:t>
      </w:r>
      <w:proofErr w:type="spellStart"/>
      <w:r>
        <w:rPr>
          <w:rFonts w:eastAsia="Times New Roman" w:cs="Times New Roman"/>
        </w:rPr>
        <w:t>neuroblastoma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ganglioneuroblastoma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ganglioneuroma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paraganglioma</w:t>
      </w:r>
      <w:proofErr w:type="spellEnd"/>
      <w:r>
        <w:rPr>
          <w:rFonts w:eastAsia="Times New Roman" w:cs="Times New Roman"/>
        </w:rPr>
        <w:t xml:space="preserve">, rakowiaków, raka </w:t>
      </w:r>
      <w:proofErr w:type="spellStart"/>
      <w:r>
        <w:rPr>
          <w:rFonts w:eastAsia="Times New Roman" w:cs="Times New Roman"/>
        </w:rPr>
        <w:t>rdzeniastego</w:t>
      </w:r>
      <w:proofErr w:type="spellEnd"/>
      <w:r>
        <w:rPr>
          <w:rFonts w:eastAsia="Times New Roman" w:cs="Times New Roman"/>
        </w:rPr>
        <w:t xml:space="preserve">  tarczycy, guzów z komórek Merkla, zespołu MEN2, a także do pomiarów stopnia gromadzenia znacznika przed planowaną terapią z zastosowaniem radiofarmaceutyku oraz oceny odpowiedzi na zastosowane leczenie.</w:t>
      </w:r>
    </w:p>
    <w:p w:rsidR="00481D1C" w:rsidRDefault="00481D1C" w:rsidP="00481D1C">
      <w:pPr>
        <w:pStyle w:val="Standard"/>
        <w:jc w:val="both"/>
        <w:rPr>
          <w:rFonts w:eastAsia="Times New Roman" w:cs="Times New Roman"/>
          <w:b/>
        </w:rPr>
      </w:pPr>
    </w:p>
    <w:p w:rsidR="00481D1C" w:rsidRDefault="00481D1C" w:rsidP="00481D1C">
      <w:pPr>
        <w:pStyle w:val="Standard"/>
        <w:jc w:val="both"/>
      </w:pPr>
      <w:r>
        <w:rPr>
          <w:rFonts w:eastAsia="Times New Roman" w:cs="Times New Roman"/>
          <w:b/>
        </w:rPr>
        <w:t>Przeciwwskazania do badania:</w:t>
      </w:r>
    </w:p>
    <w:p w:rsidR="00481D1C" w:rsidRDefault="00481D1C" w:rsidP="00481D1C">
      <w:pPr>
        <w:pStyle w:val="Standard"/>
        <w:numPr>
          <w:ilvl w:val="0"/>
          <w:numId w:val="2"/>
        </w:numPr>
        <w:jc w:val="both"/>
      </w:pPr>
      <w:r>
        <w:rPr>
          <w:rFonts w:eastAsia="Times New Roman" w:cs="Times New Roman"/>
        </w:rPr>
        <w:t>Badanie jest przeciwwskazane u kobiet w ciąży.</w:t>
      </w:r>
    </w:p>
    <w:p w:rsidR="00481D1C" w:rsidRPr="002829DA" w:rsidRDefault="00481D1C" w:rsidP="00481D1C">
      <w:pPr>
        <w:pStyle w:val="Standard"/>
        <w:numPr>
          <w:ilvl w:val="0"/>
          <w:numId w:val="1"/>
        </w:numPr>
        <w:jc w:val="both"/>
      </w:pPr>
      <w:r>
        <w:rPr>
          <w:rFonts w:eastAsia="Times New Roman" w:cs="Times New Roman"/>
        </w:rPr>
        <w:t>W przypadku kobiet karmiących piersią wskazana jest konsultacja z lekarzem</w:t>
      </w:r>
      <w:r w:rsidR="00846AB8">
        <w:rPr>
          <w:rFonts w:eastAsia="Times New Roman" w:cs="Times New Roman"/>
        </w:rPr>
        <w:t xml:space="preserve"> naszej placówki</w:t>
      </w:r>
      <w:r w:rsidR="002829DA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w celu zaplanowania przerwy w karmieniu.</w:t>
      </w:r>
    </w:p>
    <w:p w:rsidR="002829DA" w:rsidRDefault="002829DA" w:rsidP="002829DA">
      <w:pPr>
        <w:pStyle w:val="Standard"/>
        <w:ind w:left="780"/>
        <w:jc w:val="both"/>
      </w:pPr>
    </w:p>
    <w:p w:rsidR="00481D1C" w:rsidRDefault="00481D1C" w:rsidP="00481D1C">
      <w:pPr>
        <w:pStyle w:val="Standard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Przygotowanie do badania:</w:t>
      </w:r>
    </w:p>
    <w:p w:rsidR="00481D1C" w:rsidRDefault="00481D1C" w:rsidP="00481D1C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Brak ograniczeń odnośnie spożywania posiłków i przyjmowania płynów</w:t>
      </w:r>
      <w:r>
        <w:t xml:space="preserve"> – podczas badania pacjent nie musi być na czczo.</w:t>
      </w:r>
    </w:p>
    <w:p w:rsidR="00481D1C" w:rsidRDefault="00481D1C" w:rsidP="00481D1C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 w:rsidRPr="00481D1C">
        <w:rPr>
          <w:rFonts w:eastAsia="Times New Roman" w:cs="Times New Roman"/>
        </w:rPr>
        <w:t>Przed badaniem należy odstawić leki mogące mieć wpływ na interpretację badania – przy umawianiu terminu badania pacjent powinien poinformować lekarza o przyjmowanych lekach.</w:t>
      </w:r>
    </w:p>
    <w:p w:rsidR="005B09FE" w:rsidRDefault="00481D1C" w:rsidP="00481D1C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 w:rsidRPr="00481D1C">
        <w:rPr>
          <w:rFonts w:eastAsia="Times New Roman" w:cs="Times New Roman"/>
        </w:rPr>
        <w:t>Przed badaniem pacjent powinien przyjmować 1% płyn Lugola</w:t>
      </w:r>
      <w:r>
        <w:rPr>
          <w:rFonts w:eastAsia="Times New Roman" w:cs="Times New Roman"/>
        </w:rPr>
        <w:t xml:space="preserve"> w celu zablokowania tarczycy</w:t>
      </w:r>
      <w:r w:rsidR="005B09FE">
        <w:rPr>
          <w:rFonts w:eastAsia="Times New Roman" w:cs="Times New Roman"/>
        </w:rPr>
        <w:t>:</w:t>
      </w:r>
      <w:r>
        <w:rPr>
          <w:rFonts w:eastAsia="Times New Roman" w:cs="Times New Roman"/>
        </w:rPr>
        <w:t xml:space="preserve"> </w:t>
      </w:r>
    </w:p>
    <w:p w:rsidR="005B09FE" w:rsidRDefault="00481D1C" w:rsidP="005B09FE">
      <w:pPr>
        <w:pStyle w:val="Standard"/>
        <w:ind w:left="720"/>
        <w:jc w:val="both"/>
        <w:rPr>
          <w:rFonts w:eastAsia="Times New Roman" w:cs="Times New Roman"/>
        </w:rPr>
      </w:pPr>
      <w:r w:rsidRPr="002829DA">
        <w:rPr>
          <w:rFonts w:eastAsia="Times New Roman" w:cs="Times New Roman"/>
          <w:bCs/>
          <w:u w:val="single"/>
        </w:rPr>
        <w:t>Dorośli:</w:t>
      </w:r>
      <w:r w:rsidRPr="00481D1C">
        <w:rPr>
          <w:rFonts w:eastAsia="Times New Roman" w:cs="Times New Roman"/>
        </w:rPr>
        <w:t xml:space="preserve"> 2x</w:t>
      </w:r>
      <w:r w:rsidR="005B09FE">
        <w:rPr>
          <w:rFonts w:eastAsia="Times New Roman" w:cs="Times New Roman"/>
        </w:rPr>
        <w:t xml:space="preserve"> </w:t>
      </w:r>
      <w:r w:rsidRPr="00481D1C">
        <w:rPr>
          <w:rFonts w:eastAsia="Times New Roman" w:cs="Times New Roman"/>
        </w:rPr>
        <w:t>dz</w:t>
      </w:r>
      <w:r w:rsidR="005B09FE">
        <w:rPr>
          <w:rFonts w:eastAsia="Times New Roman" w:cs="Times New Roman"/>
        </w:rPr>
        <w:t>iennie po 20 kropli,</w:t>
      </w:r>
      <w:r w:rsidRPr="00481D1C">
        <w:rPr>
          <w:rFonts w:eastAsia="Times New Roman" w:cs="Times New Roman"/>
        </w:rPr>
        <w:t xml:space="preserve"> od dnia poprzedzającego podan</w:t>
      </w:r>
      <w:r w:rsidR="005B09FE">
        <w:rPr>
          <w:rFonts w:eastAsia="Times New Roman" w:cs="Times New Roman"/>
        </w:rPr>
        <w:t>ie znacznika promieniotwórczego</w:t>
      </w:r>
      <w:r w:rsidRPr="00481D1C">
        <w:rPr>
          <w:rFonts w:eastAsia="Times New Roman" w:cs="Times New Roman"/>
        </w:rPr>
        <w:t xml:space="preserve"> do dnia badania włącznie (łącznie przez 4 dni)</w:t>
      </w:r>
      <w:r w:rsidR="005B09FE">
        <w:rPr>
          <w:rFonts w:eastAsia="Times New Roman" w:cs="Times New Roman"/>
        </w:rPr>
        <w:t>*.</w:t>
      </w:r>
      <w:r>
        <w:rPr>
          <w:rFonts w:eastAsia="Times New Roman" w:cs="Times New Roman"/>
        </w:rPr>
        <w:t xml:space="preserve"> </w:t>
      </w:r>
    </w:p>
    <w:p w:rsidR="005B09FE" w:rsidRDefault="00481D1C" w:rsidP="002829DA">
      <w:pPr>
        <w:pStyle w:val="Standard"/>
        <w:ind w:left="720"/>
        <w:jc w:val="both"/>
        <w:rPr>
          <w:rFonts w:eastAsia="Times New Roman" w:cs="Times New Roman"/>
        </w:rPr>
      </w:pPr>
      <w:r w:rsidRPr="002829DA">
        <w:rPr>
          <w:rFonts w:eastAsia="Times New Roman" w:cs="Times New Roman"/>
          <w:bCs/>
          <w:u w:val="single"/>
        </w:rPr>
        <w:t>Dzieci:</w:t>
      </w:r>
      <w:r w:rsidRPr="00481D1C">
        <w:rPr>
          <w:rFonts w:eastAsia="Times New Roman" w:cs="Times New Roman"/>
          <w:b/>
          <w:bCs/>
        </w:rPr>
        <w:t xml:space="preserve"> </w:t>
      </w:r>
      <w:r w:rsidRPr="00481D1C">
        <w:rPr>
          <w:rFonts w:eastAsia="Times New Roman" w:cs="Times New Roman"/>
        </w:rPr>
        <w:t>zgodnie z zaleceniami kierującego lekarza pediatry.</w:t>
      </w:r>
    </w:p>
    <w:p w:rsidR="00481D1C" w:rsidRDefault="00481D1C" w:rsidP="00481D1C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 w:rsidRPr="00481D1C">
        <w:rPr>
          <w:rFonts w:eastAsia="Times New Roman" w:cs="Times New Roman"/>
        </w:rPr>
        <w:t>U niemowląt bezpośrednio przed badaniem należy zmienić pieluchę.</w:t>
      </w:r>
    </w:p>
    <w:p w:rsidR="00481D1C" w:rsidRPr="00481D1C" w:rsidRDefault="00481D1C" w:rsidP="00481D1C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 w:rsidRPr="00481D1C">
        <w:rPr>
          <w:rFonts w:eastAsia="Times New Roman" w:cs="Times New Roman"/>
        </w:rPr>
        <w:t>W przypadku pacjentów niesamodzielnych konieczne jest zapewnienie opieki przez osobę towarzyszącą.</w:t>
      </w:r>
    </w:p>
    <w:p w:rsidR="00481D1C" w:rsidRDefault="00481D1C" w:rsidP="00481D1C">
      <w:pPr>
        <w:pStyle w:val="Standard"/>
        <w:jc w:val="both"/>
        <w:rPr>
          <w:rFonts w:eastAsia="Times New Roman" w:cs="Times New Roman"/>
        </w:rPr>
      </w:pPr>
    </w:p>
    <w:p w:rsidR="00481D1C" w:rsidRDefault="00481D1C" w:rsidP="00481D1C">
      <w:pPr>
        <w:pStyle w:val="Standard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Przebieg badania:</w:t>
      </w:r>
    </w:p>
    <w:p w:rsidR="00481D1C" w:rsidRDefault="00481D1C" w:rsidP="00481D1C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Pacjent będzie miał podaną dożylnie niewielką ilość </w:t>
      </w:r>
      <w:r>
        <w:t>znacznika promieniotwórczego (</w:t>
      </w:r>
      <w:r>
        <w:rPr>
          <w:rFonts w:eastAsia="Times New Roman" w:cs="Times New Roman"/>
        </w:rPr>
        <w:t>radiofarmaceutyku). Badanie będzie wykonane po 2 dniach od podania (wymagane jest dwukrotne stawienie się w Zakładzie na umówioną godzinę.)</w:t>
      </w:r>
    </w:p>
    <w:p w:rsidR="00481D1C" w:rsidRDefault="00481D1C" w:rsidP="00481D1C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dniu badania pacjent zostanie ułożony na plecach pod aparaturą pomiarową (gamma kamerą). Badanie na kamerze będzie trwało ok. 60 minut. W razie konieczności zostanie wykonane dodatkowe badanie tomograficzne trwające ok. 50 minut.</w:t>
      </w:r>
    </w:p>
    <w:p w:rsidR="00481D1C" w:rsidRDefault="00481D1C" w:rsidP="00481D1C">
      <w:pPr>
        <w:pStyle w:val="Standard"/>
        <w:jc w:val="both"/>
        <w:rPr>
          <w:rFonts w:eastAsia="Times New Roman" w:cs="Times New Roman"/>
        </w:rPr>
      </w:pPr>
    </w:p>
    <w:p w:rsidR="00626745" w:rsidRDefault="00626745" w:rsidP="00481D1C">
      <w:pPr>
        <w:pStyle w:val="Standard"/>
        <w:jc w:val="both"/>
        <w:rPr>
          <w:rFonts w:eastAsia="Times New Roman" w:cs="Times New Roman"/>
          <w:b/>
        </w:rPr>
      </w:pPr>
    </w:p>
    <w:p w:rsidR="00481D1C" w:rsidRDefault="00481D1C" w:rsidP="00481D1C">
      <w:pPr>
        <w:pStyle w:val="Standard"/>
        <w:jc w:val="both"/>
      </w:pPr>
      <w:bookmarkStart w:id="0" w:name="_GoBack"/>
      <w:bookmarkEnd w:id="0"/>
      <w:r>
        <w:rPr>
          <w:rFonts w:eastAsia="Times New Roman" w:cs="Times New Roman"/>
          <w:b/>
        </w:rPr>
        <w:lastRenderedPageBreak/>
        <w:t>Zalecenia po badaniu:</w:t>
      </w:r>
    </w:p>
    <w:p w:rsidR="00481D1C" w:rsidRDefault="00481D1C" w:rsidP="00481D1C">
      <w:pPr>
        <w:pStyle w:val="Standard"/>
        <w:numPr>
          <w:ilvl w:val="0"/>
          <w:numId w:val="4"/>
        </w:numPr>
        <w:jc w:val="both"/>
      </w:pPr>
      <w:r>
        <w:rPr>
          <w:rFonts w:cs="Times New Roman"/>
        </w:rPr>
        <w:t>Po badaniu</w:t>
      </w:r>
      <w:r w:rsidR="00C227E9">
        <w:rPr>
          <w:rFonts w:cs="Times New Roman"/>
        </w:rPr>
        <w:t>, do końca dnia,</w:t>
      </w:r>
      <w:r>
        <w:rPr>
          <w:rFonts w:cs="Times New Roman"/>
        </w:rPr>
        <w:t xml:space="preserve"> zaleca się picie większej niż zwykle ilości płynów oraz częste korzystanie z toalety w celu szybszego wydalenia radiofarmaceutyku. </w:t>
      </w:r>
      <w:r>
        <w:rPr>
          <w:rFonts w:eastAsia="Times New Roman" w:cs="Times New Roman"/>
        </w:rPr>
        <w:t>(u małych dzieci konieczna jest częsta zmiana pieluszek/pampersów).</w:t>
      </w:r>
    </w:p>
    <w:p w:rsidR="00481D1C" w:rsidRDefault="00481D1C" w:rsidP="00481D1C">
      <w:pPr>
        <w:pStyle w:val="Standard"/>
        <w:numPr>
          <w:ilvl w:val="0"/>
          <w:numId w:val="3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związku ze stosowaniem izotopów promieniotwórczych</w:t>
      </w:r>
      <w:r w:rsidR="00C227E9">
        <w:rPr>
          <w:rFonts w:eastAsia="Times New Roman" w:cs="Times New Roman"/>
        </w:rPr>
        <w:t xml:space="preserve"> przez tydzień po podaniu radiofarmaceutyku</w:t>
      </w:r>
      <w:r>
        <w:rPr>
          <w:rFonts w:eastAsia="Times New Roman" w:cs="Times New Roman"/>
        </w:rPr>
        <w:t xml:space="preserve"> zaleca się unikanie kontaktów z kobietami w ciąży i </w:t>
      </w:r>
      <w:r w:rsidR="002829DA">
        <w:rPr>
          <w:rFonts w:eastAsia="Times New Roman" w:cs="Times New Roman"/>
        </w:rPr>
        <w:t xml:space="preserve">małymi </w:t>
      </w:r>
      <w:r>
        <w:rPr>
          <w:rFonts w:eastAsia="Times New Roman" w:cs="Times New Roman"/>
        </w:rPr>
        <w:t>dziećmi.</w:t>
      </w:r>
    </w:p>
    <w:p w:rsidR="00481D1C" w:rsidRDefault="00481D1C" w:rsidP="00481D1C">
      <w:pPr>
        <w:pStyle w:val="Standard"/>
        <w:jc w:val="both"/>
        <w:rPr>
          <w:rFonts w:eastAsia="Times New Roman" w:cs="Times New Roman"/>
        </w:rPr>
      </w:pPr>
    </w:p>
    <w:p w:rsidR="00481D1C" w:rsidRDefault="00481D1C" w:rsidP="00481D1C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Łączny czas pobytu w Zakładzie (w dniu badania) wynosi ok. 4-5 godziny.</w:t>
      </w:r>
    </w:p>
    <w:p w:rsidR="00974532" w:rsidRDefault="00974532"/>
    <w:p w:rsidR="00FE556B" w:rsidRDefault="00FE556B" w:rsidP="00FE556B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*</w:t>
      </w:r>
      <w:hyperlink r:id="rId7" w:history="1">
        <w:r>
          <w:rPr>
            <w:rStyle w:val="Hipercze"/>
            <w:rFonts w:eastAsia="Times New Roman" w:cs="Times New Roman"/>
            <w:b/>
            <w:bCs/>
          </w:rPr>
          <w:t>https://link.springer.com/article/10.1007/s00259-008-0715-3/tables/1</w:t>
        </w:r>
      </w:hyperlink>
    </w:p>
    <w:p w:rsidR="00FE556B" w:rsidRDefault="00755E0C" w:rsidP="00FE556B">
      <w:pPr>
        <w:pStyle w:val="Standard"/>
        <w:jc w:val="both"/>
        <w:rPr>
          <w:rFonts w:eastAsia="Times New Roman" w:cs="Times New Roman"/>
          <w:b/>
          <w:bCs/>
        </w:rPr>
      </w:pPr>
      <w:hyperlink r:id="rId8" w:history="1">
        <w:r w:rsidR="00FE556B">
          <w:rPr>
            <w:rStyle w:val="Hipercze"/>
            <w:rFonts w:eastAsia="Times New Roman" w:cs="Times New Roman"/>
            <w:b/>
            <w:bCs/>
          </w:rPr>
          <w:t>https://link.springer.com/article/10.1007%2Fs00259-019-04398-1</w:t>
        </w:r>
      </w:hyperlink>
    </w:p>
    <w:p w:rsidR="00FE556B" w:rsidRDefault="00755E0C" w:rsidP="00FE556B">
      <w:pPr>
        <w:pStyle w:val="Standard"/>
        <w:jc w:val="both"/>
        <w:rPr>
          <w:rFonts w:eastAsia="Times New Roman" w:cs="Times New Roman"/>
          <w:b/>
          <w:bCs/>
        </w:rPr>
      </w:pPr>
      <w:hyperlink r:id="rId9" w:history="1">
        <w:r w:rsidR="00FE556B">
          <w:rPr>
            <w:rStyle w:val="Hipercze"/>
            <w:rFonts w:eastAsia="Times New Roman" w:cs="Times New Roman"/>
            <w:b/>
            <w:bCs/>
          </w:rPr>
          <w:t>https://www.eanm.org/publications/guidelines/gl_onco_mibg_1.pdf</w:t>
        </w:r>
      </w:hyperlink>
    </w:p>
    <w:p w:rsidR="00FE556B" w:rsidRDefault="00FE556B"/>
    <w:sectPr w:rsidR="00FE556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E0C" w:rsidRDefault="00755E0C" w:rsidP="00626745">
      <w:pPr>
        <w:spacing w:after="0" w:line="240" w:lineRule="auto"/>
      </w:pPr>
      <w:r>
        <w:separator/>
      </w:r>
    </w:p>
  </w:endnote>
  <w:endnote w:type="continuationSeparator" w:id="0">
    <w:p w:rsidR="00755E0C" w:rsidRDefault="00755E0C" w:rsidP="0062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E0C" w:rsidRDefault="00755E0C" w:rsidP="00626745">
      <w:pPr>
        <w:spacing w:after="0" w:line="240" w:lineRule="auto"/>
      </w:pPr>
      <w:r>
        <w:separator/>
      </w:r>
    </w:p>
  </w:footnote>
  <w:footnote w:type="continuationSeparator" w:id="0">
    <w:p w:rsidR="00755E0C" w:rsidRDefault="00755E0C" w:rsidP="00626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60"/>
      <w:gridCol w:w="7021"/>
    </w:tblGrid>
    <w:tr w:rsidR="00626745" w:rsidRPr="00066AD9" w:rsidTr="00626745">
      <w:trPr>
        <w:cantSplit/>
        <w:trHeight w:val="508"/>
        <w:jc w:val="center"/>
      </w:trPr>
      <w:tc>
        <w:tcPr>
          <w:tcW w:w="2160" w:type="dxa"/>
          <w:vMerge w:val="restart"/>
          <w:vAlign w:val="center"/>
        </w:tcPr>
        <w:p w:rsidR="00626745" w:rsidRPr="00066AD9" w:rsidRDefault="00626745" w:rsidP="00626745">
          <w:pPr>
            <w:spacing w:after="120" w:line="240" w:lineRule="auto"/>
            <w:jc w:val="center"/>
            <w:rPr>
              <w:rFonts w:ascii="Times New Roman" w:eastAsia="Calibri" w:hAnsi="Times New Roman" w:cs="Times New Roman"/>
              <w:noProof/>
              <w:sz w:val="24"/>
              <w:szCs w:val="24"/>
              <w:lang w:eastAsia="pl-PL"/>
            </w:rPr>
          </w:pPr>
          <w:r w:rsidRPr="00066AD9">
            <w:rPr>
              <w:rFonts w:ascii="Times New Roman" w:eastAsia="Calibri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92C047A" wp14:editId="18B4903E">
                <wp:extent cx="1028700" cy="7143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26745" w:rsidRPr="00066AD9" w:rsidRDefault="00626745" w:rsidP="00626745">
          <w:pPr>
            <w:spacing w:after="120" w:line="240" w:lineRule="auto"/>
            <w:jc w:val="center"/>
            <w:rPr>
              <w:rFonts w:ascii="Arial" w:eastAsia="Calibri" w:hAnsi="Arial" w:cs="Arial"/>
              <w:b/>
              <w:color w:val="0000FF"/>
              <w:szCs w:val="20"/>
              <w:lang w:eastAsia="pl-PL"/>
            </w:rPr>
          </w:pPr>
          <w:r w:rsidRPr="00066AD9">
            <w:rPr>
              <w:rFonts w:ascii="Arial" w:eastAsia="Calibri" w:hAnsi="Arial" w:cs="Arial"/>
              <w:noProof/>
              <w:color w:val="1F497D"/>
              <w:sz w:val="16"/>
              <w:szCs w:val="16"/>
              <w:lang w:eastAsia="pl-PL"/>
            </w:rPr>
            <w:t>CSK UM w ŁODZI</w:t>
          </w:r>
        </w:p>
      </w:tc>
      <w:tc>
        <w:tcPr>
          <w:tcW w:w="7021" w:type="dxa"/>
          <w:vMerge w:val="restart"/>
          <w:vAlign w:val="center"/>
        </w:tcPr>
        <w:p w:rsidR="00626745" w:rsidRDefault="00626745" w:rsidP="00626745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  <w:r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  <w:t>Informacja dla pacjenta</w:t>
          </w:r>
        </w:p>
        <w:p w:rsidR="00626745" w:rsidRPr="00066AD9" w:rsidRDefault="00626745" w:rsidP="00626745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  <w:r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  <w:t>Zakład Medycyny Nuklearnej</w:t>
          </w:r>
        </w:p>
      </w:tc>
    </w:tr>
    <w:tr w:rsidR="00626745" w:rsidRPr="00066AD9" w:rsidTr="00626745">
      <w:trPr>
        <w:cantSplit/>
        <w:trHeight w:val="322"/>
        <w:jc w:val="center"/>
      </w:trPr>
      <w:tc>
        <w:tcPr>
          <w:tcW w:w="2160" w:type="dxa"/>
          <w:vMerge/>
        </w:tcPr>
        <w:p w:rsidR="00626745" w:rsidRPr="00066AD9" w:rsidRDefault="00626745" w:rsidP="00626745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/>
        </w:tcPr>
        <w:p w:rsidR="00626745" w:rsidRPr="00066AD9" w:rsidRDefault="00626745" w:rsidP="00626745">
          <w:pPr>
            <w:keepNext/>
            <w:spacing w:before="240" w:after="0" w:line="240" w:lineRule="auto"/>
            <w:jc w:val="center"/>
            <w:outlineLvl w:val="2"/>
            <w:rPr>
              <w:rFonts w:ascii="Arial" w:eastAsia="Calibri" w:hAnsi="Arial" w:cs="Arial"/>
              <w:smallCaps/>
              <w:color w:val="0000FF"/>
              <w:sz w:val="16"/>
              <w:szCs w:val="24"/>
              <w:lang w:eastAsia="pl-PL"/>
            </w:rPr>
          </w:pPr>
        </w:p>
      </w:tc>
    </w:tr>
    <w:tr w:rsidR="00626745" w:rsidRPr="00066AD9" w:rsidTr="00626745">
      <w:trPr>
        <w:cantSplit/>
        <w:trHeight w:val="350"/>
        <w:jc w:val="center"/>
      </w:trPr>
      <w:tc>
        <w:tcPr>
          <w:tcW w:w="2160" w:type="dxa"/>
          <w:vMerge/>
        </w:tcPr>
        <w:p w:rsidR="00626745" w:rsidRPr="00066AD9" w:rsidRDefault="00626745" w:rsidP="00626745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 w:val="restart"/>
        </w:tcPr>
        <w:p w:rsidR="00626745" w:rsidRDefault="00626745" w:rsidP="00626745">
          <w:pPr>
            <w:pStyle w:val="Standard"/>
            <w:jc w:val="center"/>
            <w:rPr>
              <w:rFonts w:eastAsia="Times New Roman" w:cs="Times New Roman"/>
              <w:b/>
              <w:bCs/>
              <w:sz w:val="28"/>
              <w:szCs w:val="28"/>
            </w:rPr>
          </w:pPr>
        </w:p>
        <w:p w:rsidR="00626745" w:rsidRDefault="00626745" w:rsidP="00626745">
          <w:pPr>
            <w:pStyle w:val="Standard"/>
            <w:jc w:val="center"/>
            <w:rPr>
              <w:rFonts w:eastAsia="Times New Roman" w:cs="Times New Roman"/>
              <w:b/>
              <w:bCs/>
              <w:sz w:val="28"/>
              <w:szCs w:val="28"/>
            </w:rPr>
          </w:pPr>
          <w:r w:rsidRPr="006D5E99">
            <w:rPr>
              <w:rFonts w:eastAsia="Times New Roman" w:cs="Times New Roman"/>
              <w:b/>
              <w:bCs/>
              <w:sz w:val="28"/>
              <w:szCs w:val="28"/>
            </w:rPr>
            <w:t xml:space="preserve">Scyntygrafia </w:t>
          </w:r>
          <w:r>
            <w:rPr>
              <w:rFonts w:eastAsia="Times New Roman" w:cs="Times New Roman"/>
              <w:b/>
              <w:bCs/>
              <w:sz w:val="28"/>
              <w:szCs w:val="28"/>
            </w:rPr>
            <w:t xml:space="preserve">rdzenia nadnerczy i guzów neuroendokrynnych u dzieci i dorosłych </w:t>
          </w:r>
        </w:p>
        <w:p w:rsidR="00626745" w:rsidRPr="006D5E99" w:rsidRDefault="00626745" w:rsidP="00626745">
          <w:pPr>
            <w:pStyle w:val="Standard"/>
            <w:jc w:val="center"/>
            <w:rPr>
              <w:rFonts w:eastAsia="Times New Roman" w:cs="Times New Roman"/>
              <w:b/>
              <w:bCs/>
              <w:sz w:val="28"/>
              <w:szCs w:val="28"/>
            </w:rPr>
          </w:pPr>
          <w:r>
            <w:rPr>
              <w:rFonts w:eastAsia="Times New Roman" w:cs="Times New Roman"/>
              <w:b/>
              <w:bCs/>
              <w:sz w:val="28"/>
              <w:szCs w:val="28"/>
            </w:rPr>
            <w:t xml:space="preserve">(IMIBG) – </w:t>
          </w:r>
          <w:r w:rsidRPr="00626745">
            <w:rPr>
              <w:rFonts w:eastAsia="Times New Roman" w:cs="Times New Roman"/>
              <w:b/>
              <w:bCs/>
              <w:sz w:val="28"/>
              <w:szCs w:val="28"/>
              <w:vertAlign w:val="superscript"/>
            </w:rPr>
            <w:t>131</w:t>
          </w:r>
          <w:r>
            <w:rPr>
              <w:rFonts w:eastAsia="Times New Roman" w:cs="Times New Roman"/>
              <w:b/>
              <w:bCs/>
              <w:sz w:val="28"/>
              <w:szCs w:val="28"/>
            </w:rPr>
            <w:t>I</w:t>
          </w:r>
        </w:p>
        <w:p w:rsidR="00626745" w:rsidRPr="00066AD9" w:rsidRDefault="00626745" w:rsidP="00626745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</w:p>
      </w:tc>
    </w:tr>
    <w:tr w:rsidR="00626745" w:rsidRPr="00066AD9" w:rsidTr="00626745">
      <w:trPr>
        <w:cantSplit/>
        <w:trHeight w:val="456"/>
        <w:jc w:val="center"/>
      </w:trPr>
      <w:tc>
        <w:tcPr>
          <w:tcW w:w="2160" w:type="dxa"/>
          <w:vMerge/>
        </w:tcPr>
        <w:p w:rsidR="00626745" w:rsidRPr="00066AD9" w:rsidRDefault="00626745" w:rsidP="00626745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/>
        </w:tcPr>
        <w:p w:rsidR="00626745" w:rsidRPr="00066AD9" w:rsidRDefault="00626745" w:rsidP="00626745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</w:tr>
  </w:tbl>
  <w:p w:rsidR="00626745" w:rsidRDefault="006267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F14"/>
    <w:multiLevelType w:val="multilevel"/>
    <w:tmpl w:val="401CD4E2"/>
    <w:styleLink w:val="WWNum2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 w15:restartNumberingAfterBreak="0">
    <w:nsid w:val="2EDE4A12"/>
    <w:multiLevelType w:val="multilevel"/>
    <w:tmpl w:val="C0DA1418"/>
    <w:styleLink w:val="WWNum1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 w15:restartNumberingAfterBreak="0">
    <w:nsid w:val="48AF2928"/>
    <w:multiLevelType w:val="hybridMultilevel"/>
    <w:tmpl w:val="4CF02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1C"/>
    <w:rsid w:val="00005468"/>
    <w:rsid w:val="002829DA"/>
    <w:rsid w:val="00481D1C"/>
    <w:rsid w:val="00510A31"/>
    <w:rsid w:val="005B09FE"/>
    <w:rsid w:val="00626745"/>
    <w:rsid w:val="00755E0C"/>
    <w:rsid w:val="00846AB8"/>
    <w:rsid w:val="008A3DD6"/>
    <w:rsid w:val="00974532"/>
    <w:rsid w:val="00977446"/>
    <w:rsid w:val="00C227E9"/>
    <w:rsid w:val="00FE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7263"/>
  <w15:docId w15:val="{7159B2B3-0BEC-48A6-AA7B-7C57DB2A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7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1D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481D1C"/>
    <w:pPr>
      <w:numPr>
        <w:numId w:val="1"/>
      </w:numPr>
    </w:pPr>
  </w:style>
  <w:style w:type="numbering" w:customStyle="1" w:styleId="WWNum1">
    <w:name w:val="WWNum1"/>
    <w:basedOn w:val="Bezlisty"/>
    <w:rsid w:val="00481D1C"/>
    <w:pPr>
      <w:numPr>
        <w:numId w:val="3"/>
      </w:numPr>
    </w:pPr>
  </w:style>
  <w:style w:type="character" w:styleId="Hipercze">
    <w:name w:val="Hyperlink"/>
    <w:basedOn w:val="Domylnaczcionkaakapitu"/>
    <w:uiPriority w:val="99"/>
    <w:semiHidden/>
    <w:unhideWhenUsed/>
    <w:rsid w:val="00FE556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E556B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745"/>
  </w:style>
  <w:style w:type="paragraph" w:styleId="Stopka">
    <w:name w:val="footer"/>
    <w:basedOn w:val="Normalny"/>
    <w:link w:val="StopkaZnak"/>
    <w:uiPriority w:val="99"/>
    <w:unhideWhenUsed/>
    <w:rsid w:val="0062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article/10.1007%2Fs00259-019-04398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.springer.com/article/10.1007/s00259-008-0715-3/tables/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anm.org/publications/guidelines/gl_onco_mibg_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CSKUM-B1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Aulich</dc:creator>
  <cp:keywords/>
  <dc:description/>
  <cp:lastModifiedBy>Monika Żuraw</cp:lastModifiedBy>
  <cp:revision>3</cp:revision>
  <dcterms:created xsi:type="dcterms:W3CDTF">2022-01-31T10:13:00Z</dcterms:created>
  <dcterms:modified xsi:type="dcterms:W3CDTF">2022-02-03T07:55:00Z</dcterms:modified>
</cp:coreProperties>
</file>