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1417"/>
        <w:gridCol w:w="1809"/>
      </w:tblGrid>
      <w:tr w:rsidR="00FF578A" w:rsidRPr="00903E75" w:rsidTr="00FF578A">
        <w:trPr>
          <w:jc w:val="center"/>
        </w:trPr>
        <w:tc>
          <w:tcPr>
            <w:tcW w:w="1134" w:type="dxa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FF578A" w:rsidRPr="00903E75" w:rsidRDefault="00FF578A" w:rsidP="001169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417" w:type="dxa"/>
          </w:tcPr>
          <w:p w:rsidR="00FF578A" w:rsidRPr="00903E75" w:rsidRDefault="00FF578A" w:rsidP="001169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09" w:type="dxa"/>
          </w:tcPr>
          <w:p w:rsidR="00FF578A" w:rsidRPr="00903E75" w:rsidRDefault="00FF578A" w:rsidP="001169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podpis</w:t>
            </w:r>
          </w:p>
        </w:tc>
      </w:tr>
      <w:tr w:rsidR="00FF578A" w:rsidRPr="00903E75" w:rsidTr="00FF578A">
        <w:trPr>
          <w:trHeight w:val="454"/>
          <w:jc w:val="center"/>
        </w:trPr>
        <w:tc>
          <w:tcPr>
            <w:tcW w:w="1134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opracował</w:t>
            </w:r>
          </w:p>
        </w:tc>
        <w:tc>
          <w:tcPr>
            <w:tcW w:w="4820" w:type="dxa"/>
            <w:vAlign w:val="center"/>
          </w:tcPr>
          <w:p w:rsidR="00FF578A" w:rsidRDefault="00FF578A" w:rsidP="001169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Lek.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Aleksandr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 Aulich</w:t>
            </w:r>
          </w:p>
          <w:p w:rsidR="00FF578A" w:rsidRPr="008509B4" w:rsidRDefault="00FF578A" w:rsidP="001169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8509B4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Lekarz – Zakład Medycyny Nuklearnej </w:t>
            </w:r>
          </w:p>
        </w:tc>
        <w:tc>
          <w:tcPr>
            <w:tcW w:w="1417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FF578A" w:rsidRPr="00903E75" w:rsidTr="00FF578A">
        <w:trPr>
          <w:trHeight w:val="454"/>
          <w:jc w:val="center"/>
        </w:trPr>
        <w:tc>
          <w:tcPr>
            <w:tcW w:w="1134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zatwierdził</w:t>
            </w:r>
          </w:p>
        </w:tc>
        <w:tc>
          <w:tcPr>
            <w:tcW w:w="4820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b/>
                <w:sz w:val="20"/>
                <w:szCs w:val="20"/>
                <w:lang w:val="en-AU" w:eastAsia="pl-PL"/>
              </w:rPr>
              <w:t xml:space="preserve">prof. dr hab. n.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Zbigniew Adamczewski -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Kierownik</w:t>
            </w:r>
            <w:r w:rsidRPr="00903E75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 Zakładu Medycyny Nuklearnej</w:t>
            </w:r>
          </w:p>
        </w:tc>
        <w:tc>
          <w:tcPr>
            <w:tcW w:w="1417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FF578A" w:rsidRPr="00903E75" w:rsidRDefault="00FF578A" w:rsidP="00116999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:rsidR="00FF578A" w:rsidRDefault="00FF578A" w:rsidP="00F12F62">
      <w:pPr>
        <w:pStyle w:val="Textbody"/>
        <w:jc w:val="both"/>
        <w:rPr>
          <w:rStyle w:val="StrongEmphasis"/>
          <w:rFonts w:cs="Times New Roman"/>
        </w:rPr>
      </w:pPr>
    </w:p>
    <w:p w:rsidR="00904BCB" w:rsidRPr="001F2BC2" w:rsidRDefault="009628FA" w:rsidP="00F12F62">
      <w:pPr>
        <w:pStyle w:val="Textbody"/>
        <w:jc w:val="both"/>
        <w:rPr>
          <w:rFonts w:cs="Times New Roman"/>
          <w:bCs/>
        </w:rPr>
      </w:pPr>
      <w:r w:rsidRPr="00D00306">
        <w:rPr>
          <w:rStyle w:val="StrongEmphasis"/>
          <w:rFonts w:cs="Times New Roman"/>
        </w:rPr>
        <w:t>Badanie izotopowe (scyntygraficzne</w:t>
      </w:r>
      <w:r w:rsidR="00904BCB" w:rsidRPr="00D00306">
        <w:rPr>
          <w:rStyle w:val="StrongEmphasis"/>
          <w:rFonts w:cs="Times New Roman"/>
        </w:rPr>
        <w:t>)</w:t>
      </w:r>
      <w:r w:rsidR="00D00306" w:rsidRPr="00D00306">
        <w:rPr>
          <w:rStyle w:val="StrongEmphasis"/>
          <w:rFonts w:cs="Times New Roman"/>
          <w:b w:val="0"/>
        </w:rPr>
        <w:t xml:space="preserve"> </w:t>
      </w:r>
      <w:r w:rsidR="00904BCB" w:rsidRPr="00772B35">
        <w:rPr>
          <w:rStyle w:val="StrongEmphasis"/>
          <w:rFonts w:cs="Times New Roman"/>
          <w:b w:val="0"/>
        </w:rPr>
        <w:t>polega na wprowadzeniu do organizmu (dożylnie, doustnie, wziewnie, itd.) niewielkiej ilości substancji chemicznej wyznakowanej izotopem promieniotwórczym (radiofarmaceutyku). Dobierany jest on odpowiednio do badania, tak by gromadził się w narządzie poddawanym ocenie. Emitowane przez niego promieniowanie rejestrowane jest przez detektory urządzeń pomiarowych (gamma kamer), następnie generowany jest obraz przedstawiający rozmieszczenie radiofarmaceutyku w organizmie. Pozwala to na ocenę położenia, wielkości, kształtu oraz funkcji badanych narządów.</w:t>
      </w:r>
    </w:p>
    <w:p w:rsidR="00904BCB" w:rsidRPr="00772B35" w:rsidRDefault="00B06C86" w:rsidP="00F12F62">
      <w:pPr>
        <w:pStyle w:val="Textbody"/>
        <w:jc w:val="both"/>
        <w:rPr>
          <w:rStyle w:val="StrongEmphasis"/>
          <w:rFonts w:cs="Times New Roman"/>
          <w:b w:val="0"/>
        </w:rPr>
      </w:pPr>
      <w:r w:rsidRPr="00772B35">
        <w:rPr>
          <w:rStyle w:val="StrongEmphasis"/>
          <w:rFonts w:cs="Times New Roman"/>
          <w:b w:val="0"/>
        </w:rPr>
        <w:t>W</w:t>
      </w:r>
      <w:r w:rsidR="00E519D9" w:rsidRPr="00772B35">
        <w:rPr>
          <w:rStyle w:val="StrongEmphasis"/>
          <w:rFonts w:cs="Times New Roman"/>
          <w:b w:val="0"/>
        </w:rPr>
        <w:t xml:space="preserve"> badaniach diagnostycznych wykonywanych w</w:t>
      </w:r>
      <w:r w:rsidRPr="00772B35">
        <w:rPr>
          <w:rStyle w:val="StrongEmphasis"/>
          <w:rFonts w:cs="Times New Roman"/>
          <w:b w:val="0"/>
        </w:rPr>
        <w:t xml:space="preserve"> naszej</w:t>
      </w:r>
      <w:r w:rsidR="005C2E3D" w:rsidRPr="00772B35">
        <w:rPr>
          <w:rStyle w:val="StrongEmphasis"/>
          <w:rFonts w:cs="Times New Roman"/>
          <w:b w:val="0"/>
        </w:rPr>
        <w:t xml:space="preserve"> placówce</w:t>
      </w:r>
      <w:r w:rsidRPr="00772B35">
        <w:rPr>
          <w:rStyle w:val="StrongEmphasis"/>
          <w:rFonts w:cs="Times New Roman"/>
          <w:b w:val="0"/>
        </w:rPr>
        <w:t xml:space="preserve"> stosujemy substancje znakowane krótkożyciowymi izotopami promieniotwórczymi, podawanymi najczęściej dożylnie.</w:t>
      </w:r>
      <w:r w:rsidR="00830641" w:rsidRPr="00772B35">
        <w:rPr>
          <w:rStyle w:val="StrongEmphasis"/>
          <w:rFonts w:cs="Times New Roman"/>
          <w:b w:val="0"/>
        </w:rPr>
        <w:t xml:space="preserve"> Narażenie </w:t>
      </w:r>
      <w:r w:rsidR="003415B8" w:rsidRPr="00772B35">
        <w:rPr>
          <w:rStyle w:val="StrongEmphasis"/>
          <w:rFonts w:cs="Times New Roman"/>
          <w:b w:val="0"/>
        </w:rPr>
        <w:t xml:space="preserve">organizmu </w:t>
      </w:r>
      <w:r w:rsidR="00830641" w:rsidRPr="00772B35">
        <w:rPr>
          <w:rStyle w:val="StrongEmphasis"/>
          <w:rFonts w:cs="Times New Roman"/>
          <w:b w:val="0"/>
        </w:rPr>
        <w:t>na promieniowanie podcza</w:t>
      </w:r>
      <w:r w:rsidR="00E519D9" w:rsidRPr="00772B35">
        <w:rPr>
          <w:rStyle w:val="StrongEmphasis"/>
          <w:rFonts w:cs="Times New Roman"/>
          <w:b w:val="0"/>
        </w:rPr>
        <w:t>s badań jest niewielkie, podobn</w:t>
      </w:r>
      <w:r w:rsidR="00830641" w:rsidRPr="00772B35">
        <w:rPr>
          <w:rStyle w:val="StrongEmphasis"/>
          <w:rFonts w:cs="Times New Roman"/>
          <w:b w:val="0"/>
        </w:rPr>
        <w:t xml:space="preserve">e jak w rentgenowskich </w:t>
      </w:r>
      <w:r w:rsidR="00E519D9" w:rsidRPr="00772B35">
        <w:rPr>
          <w:rStyle w:val="StrongEmphasis"/>
          <w:rFonts w:cs="Times New Roman"/>
          <w:b w:val="0"/>
        </w:rPr>
        <w:t>badaniach tomograficznych</w:t>
      </w:r>
      <w:r w:rsidR="00A07A13">
        <w:rPr>
          <w:rStyle w:val="StrongEmphasis"/>
          <w:rFonts w:cs="Times New Roman"/>
          <w:b w:val="0"/>
        </w:rPr>
        <w:t xml:space="preserve"> (tomografia komputerowa)</w:t>
      </w:r>
      <w:r w:rsidR="00E519D9" w:rsidRPr="00772B35">
        <w:rPr>
          <w:rStyle w:val="StrongEmphasis"/>
          <w:rFonts w:cs="Times New Roman"/>
          <w:b w:val="0"/>
        </w:rPr>
        <w:t>.</w:t>
      </w:r>
      <w:bookmarkStart w:id="0" w:name="_GoBack"/>
      <w:bookmarkEnd w:id="0"/>
    </w:p>
    <w:p w:rsidR="00E519D9" w:rsidRPr="00772B35" w:rsidRDefault="00E519D9" w:rsidP="00F12F62">
      <w:pPr>
        <w:pStyle w:val="Textbody"/>
        <w:jc w:val="both"/>
        <w:rPr>
          <w:rStyle w:val="StrongEmphasis"/>
          <w:rFonts w:cs="Times New Roman"/>
          <w:b w:val="0"/>
        </w:rPr>
      </w:pPr>
      <w:r w:rsidRPr="00772B35">
        <w:rPr>
          <w:rStyle w:val="StrongEmphasis"/>
          <w:rFonts w:cs="Times New Roman"/>
          <w:b w:val="0"/>
        </w:rPr>
        <w:t>Badania radioizotopowe są bezpieczne dla otoczenia pacjenta.</w:t>
      </w:r>
      <w:r w:rsidR="00A07A13">
        <w:rPr>
          <w:rStyle w:val="StrongEmphasis"/>
          <w:rFonts w:cs="Times New Roman"/>
          <w:b w:val="0"/>
        </w:rPr>
        <w:t xml:space="preserve"> Zalecane jest jedynie, aby w</w:t>
      </w:r>
      <w:r w:rsidRPr="00772B35">
        <w:rPr>
          <w:rStyle w:val="StrongEmphasis"/>
          <w:rFonts w:cs="Times New Roman"/>
          <w:b w:val="0"/>
        </w:rPr>
        <w:t xml:space="preserve"> dniu </w:t>
      </w:r>
      <w:r w:rsidR="00A07A13">
        <w:rPr>
          <w:rStyle w:val="StrongEmphasis"/>
          <w:rFonts w:cs="Times New Roman"/>
          <w:b w:val="0"/>
        </w:rPr>
        <w:t xml:space="preserve">badania </w:t>
      </w:r>
      <w:r w:rsidRPr="00772B35">
        <w:rPr>
          <w:rStyle w:val="StrongEmphasis"/>
          <w:rFonts w:cs="Times New Roman"/>
          <w:b w:val="0"/>
        </w:rPr>
        <w:t>ograniczy</w:t>
      </w:r>
      <w:r w:rsidR="00E47939" w:rsidRPr="00772B35">
        <w:rPr>
          <w:rStyle w:val="StrongEmphasis"/>
          <w:rFonts w:cs="Times New Roman"/>
          <w:b w:val="0"/>
        </w:rPr>
        <w:t>ć bezpośredni kontakt z noworodk</w:t>
      </w:r>
      <w:r w:rsidRPr="00772B35">
        <w:rPr>
          <w:rStyle w:val="StrongEmphasis"/>
          <w:rFonts w:cs="Times New Roman"/>
          <w:b w:val="0"/>
        </w:rPr>
        <w:t>ami i niemowlętami, na przykład unikając noszenia ich na rękach lub przytulania. Czas przebywania preparatu w organizmie można skrócić poprzez zwiększenie ilości oddawanego moczu, gdyż główną drogą wydalania z ustroju większości</w:t>
      </w:r>
      <w:r w:rsidR="009A21A3" w:rsidRPr="00772B35">
        <w:rPr>
          <w:rStyle w:val="StrongEmphasis"/>
          <w:rFonts w:cs="Times New Roman"/>
          <w:b w:val="0"/>
        </w:rPr>
        <w:t xml:space="preserve"> stosowanych przez nas preparatów są nerki. Po badaniu należy więc wypić większą niż zwykle ilość płynów i </w:t>
      </w:r>
      <w:r w:rsidR="007B3395" w:rsidRPr="00772B35">
        <w:rPr>
          <w:rStyle w:val="StrongEmphasis"/>
          <w:rFonts w:cs="Times New Roman"/>
          <w:b w:val="0"/>
        </w:rPr>
        <w:t>częściej</w:t>
      </w:r>
      <w:r w:rsidR="009A21A3" w:rsidRPr="00772B35">
        <w:rPr>
          <w:rStyle w:val="StrongEmphasis"/>
          <w:rFonts w:cs="Times New Roman"/>
          <w:b w:val="0"/>
        </w:rPr>
        <w:t xml:space="preserve"> </w:t>
      </w:r>
      <w:r w:rsidR="007B3395" w:rsidRPr="00772B35">
        <w:rPr>
          <w:rStyle w:val="StrongEmphasis"/>
          <w:rFonts w:cs="Times New Roman"/>
          <w:b w:val="0"/>
        </w:rPr>
        <w:t>korzystać</w:t>
      </w:r>
      <w:r w:rsidR="009A21A3" w:rsidRPr="00772B35">
        <w:rPr>
          <w:rStyle w:val="StrongEmphasis"/>
          <w:rFonts w:cs="Times New Roman"/>
          <w:b w:val="0"/>
        </w:rPr>
        <w:t xml:space="preserve"> z toalety, a badanym małym dzieciom należy często zmieniać pieluszki, a zużyte wyrzucić. Każde z kilkudziesięciu rodzajów badań przeprowadzanych w naszym Zakładzie ma swoją specyfikację, która polega m.in. na różnym czasie, jaki musi upłynąć między podaniem preparatu a wykonaniem badania. Nad prawidłowym przebiegiem procedury czuw</w:t>
      </w:r>
      <w:r w:rsidR="00DF1187">
        <w:rPr>
          <w:rStyle w:val="StrongEmphasis"/>
          <w:rFonts w:cs="Times New Roman"/>
          <w:b w:val="0"/>
        </w:rPr>
        <w:t>a personel naszej placówki. Podczas ustalania</w:t>
      </w:r>
      <w:r w:rsidR="009A21A3" w:rsidRPr="00772B35">
        <w:rPr>
          <w:rStyle w:val="StrongEmphasis"/>
          <w:rFonts w:cs="Times New Roman"/>
          <w:b w:val="0"/>
        </w:rPr>
        <w:t xml:space="preserve"> terminu badania </w:t>
      </w:r>
      <w:r w:rsidR="00634F4B" w:rsidRPr="00772B35">
        <w:rPr>
          <w:rStyle w:val="StrongEmphasis"/>
          <w:rFonts w:cs="Times New Roman"/>
          <w:b w:val="0"/>
        </w:rPr>
        <w:t xml:space="preserve">podajemy przybliżoną godzinę jego rozpoczęcia. Staramy się przestrzegać wyznaczonego czasu, ale prosimy Państwa o wyrozumiałość, gdyż nie zawsze jest to możliwe, np. gdy zachodzi konieczność wykonania </w:t>
      </w:r>
      <w:r w:rsidR="009628FA">
        <w:rPr>
          <w:rStyle w:val="StrongEmphasis"/>
          <w:rFonts w:cs="Times New Roman"/>
          <w:b w:val="0"/>
        </w:rPr>
        <w:t>akwizycji dodatkowych projekcji</w:t>
      </w:r>
      <w:r w:rsidR="00634F4B" w:rsidRPr="00772B35">
        <w:rPr>
          <w:rStyle w:val="StrongEmphasis"/>
          <w:rFonts w:cs="Times New Roman"/>
          <w:b w:val="0"/>
        </w:rPr>
        <w:t xml:space="preserve"> u poprzednich pacjentów. Po zgłoszeniu się do rejestracji i założeniu karty badania, pros</w:t>
      </w:r>
      <w:r w:rsidR="009628FA">
        <w:rPr>
          <w:rStyle w:val="StrongEmphasis"/>
          <w:rFonts w:cs="Times New Roman"/>
          <w:b w:val="0"/>
        </w:rPr>
        <w:t>imy oczekiwać w poczekalni lub s</w:t>
      </w:r>
      <w:r w:rsidR="00634F4B" w:rsidRPr="00772B35">
        <w:rPr>
          <w:rStyle w:val="StrongEmphasis"/>
          <w:rFonts w:cs="Times New Roman"/>
          <w:b w:val="0"/>
        </w:rPr>
        <w:t>ali chorych. Zostaniecie Państwo imiennie poproszeni o zgłoszenie się do odpowiedniego pokoju w celu:</w:t>
      </w:r>
    </w:p>
    <w:p w:rsidR="00634F4B" w:rsidRPr="00772B35" w:rsidRDefault="00634F4B" w:rsidP="00B06C86">
      <w:pPr>
        <w:pStyle w:val="Textbody"/>
        <w:rPr>
          <w:rStyle w:val="StrongEmphasis"/>
          <w:rFonts w:cs="Times New Roman"/>
          <w:b w:val="0"/>
        </w:rPr>
      </w:pPr>
      <w:r w:rsidRPr="00772B35">
        <w:rPr>
          <w:rStyle w:val="StrongEmphasis"/>
          <w:rFonts w:cs="Times New Roman"/>
          <w:b w:val="0"/>
        </w:rPr>
        <w:t>- podania preparatu,</w:t>
      </w:r>
    </w:p>
    <w:p w:rsidR="00634F4B" w:rsidRPr="00772B35" w:rsidRDefault="00634F4B" w:rsidP="00B06C86">
      <w:pPr>
        <w:pStyle w:val="Textbody"/>
        <w:rPr>
          <w:rStyle w:val="StrongEmphasis"/>
          <w:rFonts w:cs="Times New Roman"/>
          <w:b w:val="0"/>
        </w:rPr>
      </w:pPr>
      <w:r w:rsidRPr="00772B35">
        <w:rPr>
          <w:rStyle w:val="StrongEmphasis"/>
          <w:rFonts w:cs="Times New Roman"/>
          <w:b w:val="0"/>
        </w:rPr>
        <w:t>- wykonania pomiarów na odpowiedniej aparaturze,</w:t>
      </w:r>
    </w:p>
    <w:p w:rsidR="00634F4B" w:rsidRPr="00772B35" w:rsidRDefault="00634F4B" w:rsidP="00B06C86">
      <w:pPr>
        <w:pStyle w:val="Textbody"/>
        <w:rPr>
          <w:rStyle w:val="StrongEmphasis"/>
          <w:rFonts w:cs="Times New Roman"/>
          <w:b w:val="0"/>
        </w:rPr>
      </w:pPr>
      <w:r w:rsidRPr="00772B35">
        <w:rPr>
          <w:rStyle w:val="StrongEmphasis"/>
          <w:rFonts w:cs="Times New Roman"/>
          <w:b w:val="0"/>
        </w:rPr>
        <w:t>- odbioru wyniku badania;</w:t>
      </w:r>
    </w:p>
    <w:p w:rsidR="004B5039" w:rsidRPr="00772B35" w:rsidRDefault="00634F4B" w:rsidP="00F12F62">
      <w:pPr>
        <w:pStyle w:val="Textbody"/>
        <w:jc w:val="both"/>
        <w:rPr>
          <w:rStyle w:val="StrongEmphasis"/>
          <w:rFonts w:cs="Times New Roman"/>
          <w:b w:val="0"/>
        </w:rPr>
      </w:pPr>
      <w:r w:rsidRPr="00772B35">
        <w:rPr>
          <w:rStyle w:val="StrongEmphasis"/>
          <w:rFonts w:cs="Times New Roman"/>
          <w:b w:val="0"/>
        </w:rPr>
        <w:t>W czasie trwania całej procedury prosimy nie opuszczać</w:t>
      </w:r>
      <w:r w:rsidR="004B5039" w:rsidRPr="00772B35">
        <w:rPr>
          <w:rStyle w:val="StrongEmphasis"/>
          <w:rFonts w:cs="Times New Roman"/>
          <w:b w:val="0"/>
        </w:rPr>
        <w:t xml:space="preserve"> terenu Zakładu – poza wyjątkowymi sytuacjami, uzgodnionymi z pielęgniarką lub lekarzem dyżurnym. Do dyspozycji Państwa w poczekalni jest bezpłatna woda mineralna. Można również skorzystać z usług baru, </w:t>
      </w:r>
      <w:r w:rsidR="00FB17E3">
        <w:rPr>
          <w:rStyle w:val="StrongEmphasis"/>
          <w:rFonts w:cs="Times New Roman"/>
          <w:b w:val="0"/>
        </w:rPr>
        <w:t xml:space="preserve">znajdującego się na terenie Kliniki Psychiatrii. </w:t>
      </w:r>
      <w:r w:rsidR="004B5039" w:rsidRPr="00772B35">
        <w:rPr>
          <w:rStyle w:val="StrongEmphasis"/>
          <w:rFonts w:cs="Times New Roman"/>
          <w:b w:val="0"/>
        </w:rPr>
        <w:t>Wyniki wydawane są w dniu badania, poza badaniami kilkudniowymi lub w razie konieczności dokonania konsultacji i wykonania ewentualnych badań uzupełniających. Innych interesujących Państwa informacji udzielić może pielęgniarka lub lekarz dyżurny.</w:t>
      </w:r>
    </w:p>
    <w:p w:rsidR="00B06C86" w:rsidRPr="00772B35" w:rsidRDefault="00FD2810" w:rsidP="00F12F62">
      <w:pPr>
        <w:pStyle w:val="Textbody"/>
        <w:jc w:val="both"/>
        <w:rPr>
          <w:rFonts w:cs="Times New Roman"/>
        </w:rPr>
      </w:pPr>
      <w:r>
        <w:rPr>
          <w:rFonts w:cs="Times New Roman"/>
        </w:rPr>
        <w:lastRenderedPageBreak/>
        <w:t>W trakcie rejestracji na badanie kobiety w wieku rozrodczym zostaną poproszone o złożenie pisemnego oświadczenia o wykluczeniu ciąży.</w:t>
      </w:r>
    </w:p>
    <w:p w:rsidR="005252EC" w:rsidRPr="00772B35" w:rsidRDefault="00877D83" w:rsidP="00F12F62">
      <w:pPr>
        <w:jc w:val="both"/>
        <w:rPr>
          <w:rFonts w:ascii="Times New Roman" w:hAnsi="Times New Roman" w:cs="Times New Roman"/>
          <w:sz w:val="24"/>
          <w:szCs w:val="24"/>
        </w:rPr>
      </w:pPr>
      <w:r w:rsidRPr="00772B35">
        <w:rPr>
          <w:rFonts w:ascii="Times New Roman" w:hAnsi="Times New Roman" w:cs="Times New Roman"/>
          <w:sz w:val="24"/>
          <w:szCs w:val="24"/>
        </w:rPr>
        <w:t xml:space="preserve">Radiofarmaceutyki </w:t>
      </w:r>
      <w:r w:rsidR="00F97D26" w:rsidRPr="00772B35">
        <w:rPr>
          <w:rFonts w:ascii="Times New Roman" w:hAnsi="Times New Roman" w:cs="Times New Roman"/>
          <w:sz w:val="24"/>
          <w:szCs w:val="24"/>
        </w:rPr>
        <w:t xml:space="preserve">mogą być </w:t>
      </w:r>
      <w:r w:rsidRPr="00772B35">
        <w:rPr>
          <w:rFonts w:ascii="Times New Roman" w:hAnsi="Times New Roman" w:cs="Times New Roman"/>
          <w:sz w:val="24"/>
          <w:szCs w:val="24"/>
        </w:rPr>
        <w:t xml:space="preserve">wydalane z organizmu </w:t>
      </w:r>
      <w:r w:rsidR="00F97D26" w:rsidRPr="00772B35">
        <w:rPr>
          <w:rFonts w:ascii="Times New Roman" w:hAnsi="Times New Roman" w:cs="Times New Roman"/>
          <w:sz w:val="24"/>
          <w:szCs w:val="24"/>
        </w:rPr>
        <w:t xml:space="preserve">nawet </w:t>
      </w:r>
      <w:r w:rsidRPr="00772B35">
        <w:rPr>
          <w:rFonts w:ascii="Times New Roman" w:hAnsi="Times New Roman" w:cs="Times New Roman"/>
          <w:sz w:val="24"/>
          <w:szCs w:val="24"/>
        </w:rPr>
        <w:t>przez kilka dni, dlatego osoby planujące podróż samolotem powinny o tym fakcie</w:t>
      </w:r>
      <w:r w:rsidR="00F97D26" w:rsidRPr="00772B35">
        <w:rPr>
          <w:rFonts w:ascii="Times New Roman" w:hAnsi="Times New Roman" w:cs="Times New Roman"/>
          <w:sz w:val="24"/>
          <w:szCs w:val="24"/>
        </w:rPr>
        <w:t xml:space="preserve"> poinform</w:t>
      </w:r>
      <w:r w:rsidR="000620E9" w:rsidRPr="00772B35">
        <w:rPr>
          <w:rFonts w:ascii="Times New Roman" w:hAnsi="Times New Roman" w:cs="Times New Roman"/>
          <w:sz w:val="24"/>
          <w:szCs w:val="24"/>
        </w:rPr>
        <w:t>ować lekarza dyżurnego. O</w:t>
      </w:r>
      <w:r w:rsidR="00F97D26" w:rsidRPr="00772B35">
        <w:rPr>
          <w:rFonts w:ascii="Times New Roman" w:hAnsi="Times New Roman" w:cs="Times New Roman"/>
          <w:sz w:val="24"/>
          <w:szCs w:val="24"/>
        </w:rPr>
        <w:t>trzymają</w:t>
      </w:r>
      <w:r w:rsidR="000620E9" w:rsidRPr="00772B35">
        <w:rPr>
          <w:rFonts w:ascii="Times New Roman" w:hAnsi="Times New Roman" w:cs="Times New Roman"/>
          <w:sz w:val="24"/>
          <w:szCs w:val="24"/>
        </w:rPr>
        <w:t xml:space="preserve"> one</w:t>
      </w:r>
      <w:r w:rsidR="00F97D26" w:rsidRPr="00772B35">
        <w:rPr>
          <w:rFonts w:ascii="Times New Roman" w:hAnsi="Times New Roman" w:cs="Times New Roman"/>
          <w:sz w:val="24"/>
          <w:szCs w:val="24"/>
        </w:rPr>
        <w:t xml:space="preserve"> </w:t>
      </w:r>
      <w:r w:rsidRPr="00772B35">
        <w:rPr>
          <w:rFonts w:ascii="Times New Roman" w:hAnsi="Times New Roman" w:cs="Times New Roman"/>
          <w:sz w:val="24"/>
          <w:szCs w:val="24"/>
        </w:rPr>
        <w:t>z</w:t>
      </w:r>
      <w:r w:rsidR="00F97D26" w:rsidRPr="00772B35">
        <w:rPr>
          <w:rFonts w:ascii="Times New Roman" w:hAnsi="Times New Roman" w:cs="Times New Roman"/>
          <w:sz w:val="24"/>
          <w:szCs w:val="24"/>
        </w:rPr>
        <w:t>aświadczenie</w:t>
      </w:r>
      <w:r w:rsidRPr="00772B35">
        <w:rPr>
          <w:rFonts w:ascii="Times New Roman" w:hAnsi="Times New Roman" w:cs="Times New Roman"/>
          <w:sz w:val="24"/>
          <w:szCs w:val="24"/>
        </w:rPr>
        <w:t xml:space="preserve"> o przeprowadzonej procedurze diagnostycznej</w:t>
      </w:r>
      <w:r w:rsidR="00DF1187">
        <w:rPr>
          <w:rFonts w:ascii="Times New Roman" w:hAnsi="Times New Roman" w:cs="Times New Roman"/>
          <w:sz w:val="24"/>
          <w:szCs w:val="24"/>
        </w:rPr>
        <w:t xml:space="preserve"> i/lub </w:t>
      </w:r>
      <w:r w:rsidRPr="00772B35">
        <w:rPr>
          <w:rFonts w:ascii="Times New Roman" w:hAnsi="Times New Roman" w:cs="Times New Roman"/>
          <w:sz w:val="24"/>
          <w:szCs w:val="24"/>
        </w:rPr>
        <w:t>terapeutycznej z użyciem izotopów promieniotwórczych</w:t>
      </w:r>
      <w:r w:rsidR="00D67A7F" w:rsidRPr="00772B35">
        <w:rPr>
          <w:rFonts w:ascii="Times New Roman" w:hAnsi="Times New Roman" w:cs="Times New Roman"/>
          <w:sz w:val="24"/>
          <w:szCs w:val="24"/>
        </w:rPr>
        <w:t xml:space="preserve">, które </w:t>
      </w:r>
      <w:r w:rsidR="00F97D26" w:rsidRPr="00772B35">
        <w:rPr>
          <w:rFonts w:ascii="Times New Roman" w:hAnsi="Times New Roman" w:cs="Times New Roman"/>
          <w:sz w:val="24"/>
          <w:szCs w:val="24"/>
        </w:rPr>
        <w:t>należy okazać personelowi lotniska podczas odprawy</w:t>
      </w:r>
      <w:r w:rsidRPr="00772B35">
        <w:rPr>
          <w:rFonts w:ascii="Times New Roman" w:hAnsi="Times New Roman" w:cs="Times New Roman"/>
          <w:sz w:val="24"/>
          <w:szCs w:val="24"/>
        </w:rPr>
        <w:t>. Związane jest to z możliwości</w:t>
      </w:r>
      <w:r w:rsidR="00F97D26" w:rsidRPr="00772B35">
        <w:rPr>
          <w:rFonts w:ascii="Times New Roman" w:hAnsi="Times New Roman" w:cs="Times New Roman"/>
          <w:sz w:val="24"/>
          <w:szCs w:val="24"/>
        </w:rPr>
        <w:t>ą</w:t>
      </w:r>
      <w:r w:rsidRPr="00772B35">
        <w:rPr>
          <w:rFonts w:ascii="Times New Roman" w:hAnsi="Times New Roman" w:cs="Times New Roman"/>
          <w:sz w:val="24"/>
          <w:szCs w:val="24"/>
        </w:rPr>
        <w:t xml:space="preserve"> wykrycia promieniowania </w:t>
      </w:r>
      <w:r w:rsidR="00D67A7F" w:rsidRPr="00772B35">
        <w:rPr>
          <w:rFonts w:ascii="Times New Roman" w:hAnsi="Times New Roman" w:cs="Times New Roman"/>
          <w:sz w:val="24"/>
          <w:szCs w:val="24"/>
        </w:rPr>
        <w:t xml:space="preserve">jonizującego </w:t>
      </w:r>
      <w:r w:rsidRPr="00772B35">
        <w:rPr>
          <w:rFonts w:ascii="Times New Roman" w:hAnsi="Times New Roman" w:cs="Times New Roman"/>
          <w:sz w:val="24"/>
          <w:szCs w:val="24"/>
        </w:rPr>
        <w:t xml:space="preserve">przez detektory </w:t>
      </w:r>
      <w:r w:rsidR="00F97D26" w:rsidRPr="00772B35">
        <w:rPr>
          <w:rFonts w:ascii="Times New Roman" w:hAnsi="Times New Roman" w:cs="Times New Roman"/>
          <w:sz w:val="24"/>
          <w:szCs w:val="24"/>
        </w:rPr>
        <w:t>zainstalowane w pomieszczeniach na terenie lotniska.</w:t>
      </w:r>
    </w:p>
    <w:p w:rsidR="000D7D67" w:rsidRPr="00D43E32" w:rsidRDefault="002F41B5" w:rsidP="00D43E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32">
        <w:rPr>
          <w:rFonts w:ascii="Times New Roman" w:hAnsi="Times New Roman" w:cs="Times New Roman"/>
          <w:b/>
          <w:sz w:val="24"/>
          <w:szCs w:val="24"/>
        </w:rPr>
        <w:t xml:space="preserve">W Zakładzie Medycyny Nuklearnej funkcjonują 2 pracownie: </w:t>
      </w:r>
    </w:p>
    <w:p w:rsidR="008601FC" w:rsidRPr="00772B35" w:rsidRDefault="002F41B5" w:rsidP="00D43E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35">
        <w:rPr>
          <w:rFonts w:ascii="Times New Roman" w:hAnsi="Times New Roman" w:cs="Times New Roman"/>
          <w:sz w:val="24"/>
          <w:szCs w:val="24"/>
        </w:rPr>
        <w:t>Pracownia Radioizotopowa, wyposażona w 2 kamery SPECT/CT, kamerę SPECT oraz kardiologiczną kamerę półprzewodnikową</w:t>
      </w:r>
      <w:r w:rsidR="0031130D" w:rsidRPr="00772B35">
        <w:rPr>
          <w:rFonts w:ascii="Times New Roman" w:hAnsi="Times New Roman" w:cs="Times New Roman"/>
          <w:sz w:val="24"/>
          <w:szCs w:val="24"/>
        </w:rPr>
        <w:t>. W pracowni rocznie wykonywanych jest ok. 11 000 procedur diagnostycznych i terapeutycznych, głównie badań perfuzji mięśnia sercowego</w:t>
      </w:r>
      <w:r w:rsidR="0077609E" w:rsidRPr="00772B35">
        <w:rPr>
          <w:rFonts w:ascii="Times New Roman" w:hAnsi="Times New Roman" w:cs="Times New Roman"/>
          <w:sz w:val="24"/>
          <w:szCs w:val="24"/>
        </w:rPr>
        <w:t xml:space="preserve"> (ok. 6000)</w:t>
      </w:r>
      <w:r w:rsidR="0031130D" w:rsidRPr="00772B35">
        <w:rPr>
          <w:rFonts w:ascii="Times New Roman" w:hAnsi="Times New Roman" w:cs="Times New Roman"/>
          <w:sz w:val="24"/>
          <w:szCs w:val="24"/>
        </w:rPr>
        <w:t xml:space="preserve"> i scyntygrafii koś</w:t>
      </w:r>
      <w:r w:rsidR="006F7528" w:rsidRPr="00772B35">
        <w:rPr>
          <w:rFonts w:ascii="Times New Roman" w:hAnsi="Times New Roman" w:cs="Times New Roman"/>
          <w:sz w:val="24"/>
          <w:szCs w:val="24"/>
        </w:rPr>
        <w:t>ćca</w:t>
      </w:r>
      <w:r w:rsidR="0077609E" w:rsidRPr="00772B35">
        <w:rPr>
          <w:rFonts w:ascii="Times New Roman" w:hAnsi="Times New Roman" w:cs="Times New Roman"/>
          <w:sz w:val="24"/>
          <w:szCs w:val="24"/>
        </w:rPr>
        <w:t xml:space="preserve"> (ponad 2000).</w:t>
      </w:r>
    </w:p>
    <w:p w:rsidR="006F7528" w:rsidRPr="00772B35" w:rsidRDefault="000D7D67" w:rsidP="00D43E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35">
        <w:rPr>
          <w:rFonts w:ascii="Times New Roman" w:hAnsi="Times New Roman" w:cs="Times New Roman"/>
          <w:sz w:val="24"/>
          <w:szCs w:val="24"/>
        </w:rPr>
        <w:t>Pracownia Ultrasonograficzna wykonująca szeroki zakres badań podstawowych i dopplerowskich.</w:t>
      </w:r>
    </w:p>
    <w:p w:rsidR="000D7D67" w:rsidRPr="00D00306" w:rsidRDefault="000D7D67" w:rsidP="00D43E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306">
        <w:rPr>
          <w:rFonts w:ascii="Times New Roman" w:hAnsi="Times New Roman" w:cs="Times New Roman"/>
          <w:b/>
          <w:sz w:val="24"/>
          <w:szCs w:val="24"/>
        </w:rPr>
        <w:t>W Zakładzie wykonywane są następujące badania radioizotopowe:</w:t>
      </w:r>
    </w:p>
    <w:p w:rsidR="000D7D67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 xml:space="preserve">Serca i układu krążenia </w:t>
      </w:r>
    </w:p>
    <w:p w:rsidR="000D7D67" w:rsidRPr="00772B35" w:rsidRDefault="000D7D67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cs="Times New Roman"/>
        </w:rPr>
        <w:t>– ocena perfuzji i żywotności mięśnia sercowego z możliwością określenia rezerwy wieńcowej</w:t>
      </w:r>
      <w:r w:rsidR="00EF7C56" w:rsidRPr="00772B35">
        <w:rPr>
          <w:rFonts w:cs="Times New Roman"/>
        </w:rPr>
        <w:t xml:space="preserve"> i kurczliwości mięśnia</w:t>
      </w:r>
      <w:r w:rsidRPr="00772B35">
        <w:rPr>
          <w:rFonts w:cs="Times New Roman"/>
        </w:rPr>
        <w:t xml:space="preserve"> lewej komory, </w:t>
      </w:r>
    </w:p>
    <w:p w:rsidR="000D7D67" w:rsidRPr="00772B35" w:rsidRDefault="000D7D67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cs="Times New Roman"/>
        </w:rPr>
        <w:t xml:space="preserve">- ocena istotności hemodynamicznej wad przeciekowych serca, </w:t>
      </w:r>
    </w:p>
    <w:p w:rsidR="000D7D67" w:rsidRPr="00772B35" w:rsidRDefault="000D7D67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cs="Times New Roman"/>
        </w:rPr>
        <w:t>- wykrywanie zatorowości płucnej.</w:t>
      </w:r>
    </w:p>
    <w:p w:rsidR="000D7D67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 xml:space="preserve">Układu moczowego </w:t>
      </w:r>
      <w:r w:rsidR="00753AB9" w:rsidRPr="00772B35">
        <w:rPr>
          <w:rFonts w:cs="Times New Roman"/>
        </w:rPr>
        <w:t xml:space="preserve">- </w:t>
      </w:r>
      <w:r w:rsidRPr="00772B35">
        <w:rPr>
          <w:rFonts w:cs="Times New Roman"/>
        </w:rPr>
        <w:t xml:space="preserve">diagnostyka uro– i nefropatii zaporowej, nadciśnienia naczyniowonerkowego, wrodzonych wad układu moczowego, </w:t>
      </w:r>
      <w:r w:rsidR="00753AB9" w:rsidRPr="00772B35">
        <w:rPr>
          <w:rFonts w:cs="Times New Roman"/>
        </w:rPr>
        <w:t>ogniskowych zmian w miąższu nerek</w:t>
      </w:r>
      <w:r w:rsidRPr="00772B35">
        <w:rPr>
          <w:rFonts w:cs="Times New Roman"/>
        </w:rPr>
        <w:t>.</w:t>
      </w:r>
    </w:p>
    <w:p w:rsidR="009F4217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 xml:space="preserve">Przewodu pokarmowego  </w:t>
      </w:r>
    </w:p>
    <w:p w:rsidR="009F4217" w:rsidRPr="00772B35" w:rsidRDefault="000D7D67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cs="Times New Roman"/>
        </w:rPr>
        <w:t xml:space="preserve">– ocena czynności narządów miąższowych (wątroby, ślinianek), kinetyki dróg żółciowych, motoryki żołądka, pasażu przełykowego, różnicowanie zmian ogniskowych w miąższu wątroby, </w:t>
      </w:r>
    </w:p>
    <w:p w:rsidR="009F4217" w:rsidRPr="00772B35" w:rsidRDefault="009F4217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cs="Times New Roman"/>
        </w:rPr>
        <w:t xml:space="preserve">- </w:t>
      </w:r>
      <w:r w:rsidR="000D7D67" w:rsidRPr="00772B35">
        <w:rPr>
          <w:rFonts w:cs="Times New Roman"/>
        </w:rPr>
        <w:t>wykrywanie i lokalizacja ektopo</w:t>
      </w:r>
      <w:r w:rsidRPr="00772B35">
        <w:rPr>
          <w:rFonts w:cs="Times New Roman"/>
        </w:rPr>
        <w:t>wej błony śluzowej żołądka,</w:t>
      </w:r>
    </w:p>
    <w:p w:rsidR="000D7D67" w:rsidRPr="00772B35" w:rsidRDefault="009F4217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cs="Times New Roman"/>
        </w:rPr>
        <w:t xml:space="preserve">- lokalizacja </w:t>
      </w:r>
      <w:r w:rsidR="000D7D67" w:rsidRPr="00772B35">
        <w:rPr>
          <w:rFonts w:cs="Times New Roman"/>
        </w:rPr>
        <w:t xml:space="preserve">ognisk </w:t>
      </w:r>
      <w:r w:rsidRPr="00772B35">
        <w:rPr>
          <w:rFonts w:cs="Times New Roman"/>
        </w:rPr>
        <w:t xml:space="preserve">aktywnego </w:t>
      </w:r>
      <w:r w:rsidR="000D7D67" w:rsidRPr="00772B35">
        <w:rPr>
          <w:rFonts w:cs="Times New Roman"/>
        </w:rPr>
        <w:t>krwawienia z przewodu pokarmowego.</w:t>
      </w:r>
    </w:p>
    <w:p w:rsidR="000D7D67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>Ośrodkowego układu nerwowego – ocena perfuzji mózgu oraz czynności  układu dopaminergicznego w chorobach  naczyniowych i neurodegeneracyjnych OUN</w:t>
      </w:r>
      <w:r w:rsidR="009F4217" w:rsidRPr="00772B35">
        <w:rPr>
          <w:rFonts w:cs="Times New Roman"/>
        </w:rPr>
        <w:t>.</w:t>
      </w:r>
    </w:p>
    <w:p w:rsidR="000D7D67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>Onkologiczne – ocena zajęcia układu kostnego w przebiegu choroby nowotworowej, lokalizacja węzła wartowniczego przed operacją gruczołu piersiowego, ocena rozległości nowotworów w</w:t>
      </w:r>
      <w:r w:rsidR="009F4217" w:rsidRPr="00772B35">
        <w:rPr>
          <w:rFonts w:cs="Times New Roman"/>
        </w:rPr>
        <w:t>ychodzących z rdzenia nadnerczy, wykrywanie, lokalizacja oraz ocena ekspresji receptorów dla somatostatyny w guzach typu NET.</w:t>
      </w:r>
    </w:p>
    <w:p w:rsidR="005A2D0A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 xml:space="preserve">Gruczołów wydzielania wewnętrznego </w:t>
      </w:r>
    </w:p>
    <w:p w:rsidR="005A2D0A" w:rsidRPr="00772B35" w:rsidRDefault="000D7D67" w:rsidP="00D43E32">
      <w:pPr>
        <w:pStyle w:val="Textbody"/>
        <w:spacing w:after="0"/>
        <w:ind w:left="707"/>
        <w:jc w:val="both"/>
        <w:rPr>
          <w:rFonts w:eastAsia="Times New Roman" w:cs="Times New Roman"/>
        </w:rPr>
      </w:pPr>
      <w:r w:rsidRPr="00772B35">
        <w:rPr>
          <w:rFonts w:cs="Times New Roman"/>
        </w:rPr>
        <w:t xml:space="preserve">– </w:t>
      </w:r>
      <w:r w:rsidR="0035575A" w:rsidRPr="00772B35">
        <w:rPr>
          <w:rFonts w:eastAsia="Times New Roman" w:cs="Times New Roman"/>
        </w:rPr>
        <w:t>ocena obszarów autonomii w obrębie gruczołu tarczowego, ocena rozległości wola, różnicowanie zapaleń tarczycy jako przyczyny tyreotoksykozy z innymi przyczynami nadczynności tarczycy,</w:t>
      </w:r>
      <w:r w:rsidR="005A2D0A" w:rsidRPr="00772B35">
        <w:rPr>
          <w:rFonts w:eastAsia="Times New Roman" w:cs="Times New Roman"/>
        </w:rPr>
        <w:t xml:space="preserve"> lokalizacja ektopowej tkanki jodochwytnej, </w:t>
      </w:r>
    </w:p>
    <w:p w:rsidR="005A2D0A" w:rsidRPr="00772B35" w:rsidRDefault="005A2D0A" w:rsidP="00D43E32">
      <w:pPr>
        <w:pStyle w:val="Textbody"/>
        <w:spacing w:after="0"/>
        <w:ind w:left="707"/>
        <w:jc w:val="both"/>
        <w:rPr>
          <w:rFonts w:cs="Times New Roman"/>
        </w:rPr>
      </w:pPr>
      <w:r w:rsidRPr="00772B35">
        <w:rPr>
          <w:rFonts w:eastAsia="Times New Roman" w:cs="Times New Roman"/>
        </w:rPr>
        <w:lastRenderedPageBreak/>
        <w:t xml:space="preserve">- </w:t>
      </w:r>
      <w:r w:rsidR="000D7D67" w:rsidRPr="00772B35">
        <w:rPr>
          <w:rFonts w:cs="Times New Roman"/>
        </w:rPr>
        <w:t>lokalizacja przytarczyc w przebiegu ich pierw</w:t>
      </w:r>
      <w:r w:rsidR="009F4217" w:rsidRPr="00772B35">
        <w:rPr>
          <w:rFonts w:cs="Times New Roman"/>
        </w:rPr>
        <w:t xml:space="preserve">otnej lub wtórnej nadczynności, </w:t>
      </w:r>
    </w:p>
    <w:p w:rsidR="000D7D67" w:rsidRPr="00772B35" w:rsidRDefault="005A2D0A" w:rsidP="00D43E32">
      <w:pPr>
        <w:pStyle w:val="Textbody"/>
        <w:spacing w:after="0"/>
        <w:ind w:left="707"/>
        <w:jc w:val="both"/>
        <w:rPr>
          <w:rFonts w:eastAsia="Times New Roman" w:cs="Times New Roman"/>
        </w:rPr>
      </w:pPr>
      <w:r w:rsidRPr="00772B35">
        <w:rPr>
          <w:rFonts w:cs="Times New Roman"/>
        </w:rPr>
        <w:t xml:space="preserve">- </w:t>
      </w:r>
      <w:r w:rsidR="000D7D67" w:rsidRPr="00772B35">
        <w:rPr>
          <w:rFonts w:cs="Times New Roman"/>
        </w:rPr>
        <w:t>ocena czynności metabolicznej  gruczolaków kory nadnerczy.</w:t>
      </w:r>
    </w:p>
    <w:p w:rsidR="000D7D67" w:rsidRPr="00772B35" w:rsidRDefault="000D7D67" w:rsidP="00D43E32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>Narządu ruchu – ocena układu kostnego w przebiegu chorób nowotworowych, zwyrodnieniowych, w zapaleniach kości i szpiku kostnego, po urazach i zabiegach operacyjnych</w:t>
      </w:r>
      <w:r w:rsidR="005A2D0A" w:rsidRPr="00772B35">
        <w:rPr>
          <w:rFonts w:cs="Times New Roman"/>
        </w:rPr>
        <w:t>.</w:t>
      </w:r>
    </w:p>
    <w:p w:rsidR="000D7D67" w:rsidRPr="00772B35" w:rsidRDefault="000D7D67" w:rsidP="000D7D67">
      <w:pPr>
        <w:pStyle w:val="Textbody"/>
        <w:numPr>
          <w:ilvl w:val="0"/>
          <w:numId w:val="1"/>
        </w:numPr>
        <w:rPr>
          <w:rFonts w:cs="Times New Roman"/>
        </w:rPr>
      </w:pPr>
      <w:r w:rsidRPr="00772B35">
        <w:rPr>
          <w:rFonts w:cs="Times New Roman"/>
        </w:rPr>
        <w:t>Układu chłonnego – w diagnostyce różnicowej obrzęków kończyn</w:t>
      </w:r>
      <w:r w:rsidR="005A2D0A" w:rsidRPr="00772B35">
        <w:rPr>
          <w:rFonts w:cs="Times New Roman"/>
        </w:rPr>
        <w:t>.</w:t>
      </w:r>
    </w:p>
    <w:p w:rsidR="00B847E4" w:rsidRPr="00772B35" w:rsidRDefault="00B847E4" w:rsidP="00B847E4">
      <w:pPr>
        <w:pStyle w:val="Textbody"/>
        <w:ind w:left="707"/>
        <w:rPr>
          <w:rFonts w:cs="Times New Roman"/>
        </w:rPr>
      </w:pPr>
    </w:p>
    <w:p w:rsidR="00B847E4" w:rsidRPr="00D00306" w:rsidRDefault="00B847E4" w:rsidP="00D43E32">
      <w:pPr>
        <w:pStyle w:val="Textbody"/>
        <w:jc w:val="both"/>
        <w:rPr>
          <w:rFonts w:cs="Times New Roman"/>
          <w:b/>
        </w:rPr>
      </w:pPr>
      <w:r w:rsidRPr="00D00306">
        <w:rPr>
          <w:rFonts w:cs="Times New Roman"/>
          <w:b/>
        </w:rPr>
        <w:t>Terapia radioizotopowa obejmuje:</w:t>
      </w:r>
    </w:p>
    <w:p w:rsidR="008B7555" w:rsidRPr="00772B35" w:rsidRDefault="008B7555" w:rsidP="00D43E32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 xml:space="preserve">Leczenie łagodnych chorób tarczycy </w:t>
      </w:r>
      <w:r w:rsidR="00DF1187">
        <w:rPr>
          <w:rFonts w:cs="Times New Roman"/>
        </w:rPr>
        <w:t xml:space="preserve">z użyciem jodu promieniotwórczego </w:t>
      </w:r>
      <w:r w:rsidRPr="00DF1187">
        <w:rPr>
          <w:rFonts w:cs="Times New Roman"/>
          <w:vertAlign w:val="superscript"/>
        </w:rPr>
        <w:t>131</w:t>
      </w:r>
      <w:r w:rsidRPr="00772B35">
        <w:rPr>
          <w:rFonts w:cs="Times New Roman"/>
        </w:rPr>
        <w:t>I</w:t>
      </w:r>
    </w:p>
    <w:p w:rsidR="0073597E" w:rsidRPr="00772B35" w:rsidRDefault="0073597E" w:rsidP="00D43E32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>Radiosynowektomię stawu kolanowego– głównie u pacjentów z reumatoidalnym zapaleniem.</w:t>
      </w:r>
    </w:p>
    <w:p w:rsidR="00B847E4" w:rsidRPr="00772B35" w:rsidRDefault="00B847E4" w:rsidP="00D43E32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>Lecze</w:t>
      </w:r>
      <w:r w:rsidR="0073597E" w:rsidRPr="00772B35">
        <w:rPr>
          <w:rFonts w:cs="Times New Roman"/>
        </w:rPr>
        <w:t>nie</w:t>
      </w:r>
      <w:r w:rsidRPr="00772B35">
        <w:rPr>
          <w:rFonts w:cs="Times New Roman"/>
        </w:rPr>
        <w:t xml:space="preserve"> radioizotopami </w:t>
      </w:r>
      <w:r w:rsidR="00DF1187" w:rsidRPr="00DF1187">
        <w:rPr>
          <w:rFonts w:cs="Times New Roman"/>
          <w:vertAlign w:val="superscript"/>
        </w:rPr>
        <w:t>89</w:t>
      </w:r>
      <w:r w:rsidRPr="00772B35">
        <w:rPr>
          <w:rFonts w:cs="Times New Roman"/>
        </w:rPr>
        <w:t xml:space="preserve">Sr lub </w:t>
      </w:r>
      <w:r w:rsidR="008B7555" w:rsidRPr="00DF1187">
        <w:rPr>
          <w:rFonts w:cs="Times New Roman"/>
          <w:vertAlign w:val="superscript"/>
        </w:rPr>
        <w:t>153</w:t>
      </w:r>
      <w:r w:rsidRPr="00772B35">
        <w:rPr>
          <w:rFonts w:cs="Times New Roman"/>
        </w:rPr>
        <w:t xml:space="preserve">Sm dolegliwości bólowych </w:t>
      </w:r>
      <w:r w:rsidR="0073597E" w:rsidRPr="00772B35">
        <w:rPr>
          <w:rFonts w:cs="Times New Roman"/>
        </w:rPr>
        <w:t xml:space="preserve">z układu kostnego </w:t>
      </w:r>
      <w:r w:rsidRPr="00772B35">
        <w:rPr>
          <w:rFonts w:cs="Times New Roman"/>
        </w:rPr>
        <w:t>u chorych z mnogimi przerzutami do szkieletu.</w:t>
      </w:r>
    </w:p>
    <w:p w:rsidR="0073597E" w:rsidRPr="00772B35" w:rsidRDefault="0073597E" w:rsidP="00D43E32">
      <w:pPr>
        <w:pStyle w:val="Textbody"/>
        <w:spacing w:after="0"/>
        <w:ind w:left="707"/>
        <w:jc w:val="both"/>
        <w:rPr>
          <w:rFonts w:cs="Times New Roman"/>
        </w:rPr>
      </w:pPr>
    </w:p>
    <w:p w:rsidR="00B847E4" w:rsidRPr="00772B35" w:rsidRDefault="0073597E" w:rsidP="00D43E32">
      <w:pPr>
        <w:pStyle w:val="Textbody"/>
        <w:jc w:val="both"/>
        <w:rPr>
          <w:rFonts w:cs="Times New Roman"/>
        </w:rPr>
      </w:pPr>
      <w:r w:rsidRPr="00772B35">
        <w:rPr>
          <w:rFonts w:cs="Times New Roman"/>
        </w:rPr>
        <w:t>Badania diagnostyczne</w:t>
      </w:r>
      <w:r w:rsidR="00B847E4" w:rsidRPr="00772B35">
        <w:rPr>
          <w:rFonts w:cs="Times New Roman"/>
        </w:rPr>
        <w:t xml:space="preserve"> wykonywane są na podstawie skierowań wystawionych w poradniach specjalistycznych posiadających umowę z </w:t>
      </w:r>
      <w:r w:rsidR="00B847E4" w:rsidRPr="00772B35">
        <w:rPr>
          <w:rStyle w:val="StrongEmphasis"/>
          <w:rFonts w:cs="Times New Roman"/>
        </w:rPr>
        <w:t>NFZ </w:t>
      </w:r>
      <w:r w:rsidR="00B847E4" w:rsidRPr="00772B35">
        <w:rPr>
          <w:rFonts w:cs="Times New Roman"/>
        </w:rPr>
        <w:t>lub wszystkich placówkach, które zawarły odpowiednią umowę z </w:t>
      </w:r>
      <w:r w:rsidR="00B847E4" w:rsidRPr="00772B35">
        <w:rPr>
          <w:rStyle w:val="StrongEmphasis"/>
          <w:rFonts w:cs="Times New Roman"/>
        </w:rPr>
        <w:t>CSK</w:t>
      </w:r>
      <w:r w:rsidR="00B847E4" w:rsidRPr="00772B35">
        <w:rPr>
          <w:rFonts w:cs="Times New Roman"/>
        </w:rPr>
        <w:t>.</w:t>
      </w:r>
    </w:p>
    <w:p w:rsidR="0073597E" w:rsidRPr="00772B35" w:rsidRDefault="0073597E" w:rsidP="00D43E32">
      <w:pPr>
        <w:pStyle w:val="Textbody"/>
        <w:jc w:val="both"/>
        <w:rPr>
          <w:rFonts w:cs="Times New Roman"/>
        </w:rPr>
      </w:pPr>
      <w:r w:rsidRPr="00772B35">
        <w:rPr>
          <w:rFonts w:cs="Times New Roman"/>
        </w:rPr>
        <w:t>Terapia przeprowadzana jest na podstawie skierowań z publicznych placówek opieki zdrowotnej.</w:t>
      </w:r>
    </w:p>
    <w:p w:rsidR="0073597E" w:rsidRPr="00772B35" w:rsidRDefault="00B847E4" w:rsidP="00D43E32">
      <w:pPr>
        <w:pStyle w:val="Textbody"/>
        <w:jc w:val="both"/>
        <w:rPr>
          <w:rFonts w:cs="Times New Roman"/>
        </w:rPr>
      </w:pPr>
      <w:r w:rsidRPr="00772B35">
        <w:rPr>
          <w:rFonts w:cs="Times New Roman"/>
        </w:rPr>
        <w:t>Wielozadaniowy ultrasonograf umożliwia wykonanie całego szeregu badań zarówno podstawowych</w:t>
      </w:r>
      <w:r w:rsidR="0073597E" w:rsidRPr="00772B35">
        <w:rPr>
          <w:rFonts w:cs="Times New Roman"/>
        </w:rPr>
        <w:t>,</w:t>
      </w:r>
      <w:r w:rsidRPr="00772B35">
        <w:rPr>
          <w:rFonts w:cs="Times New Roman"/>
        </w:rPr>
        <w:t xml:space="preserve"> jak również z wykorz</w:t>
      </w:r>
      <w:r w:rsidR="0073597E" w:rsidRPr="00772B35">
        <w:rPr>
          <w:rFonts w:cs="Times New Roman"/>
        </w:rPr>
        <w:t>ystaniem technik dopplerowskich:</w:t>
      </w:r>
    </w:p>
    <w:p w:rsidR="00B847E4" w:rsidRPr="00772B35" w:rsidRDefault="0073597E" w:rsidP="00D43E32">
      <w:pPr>
        <w:pStyle w:val="Textbody"/>
        <w:numPr>
          <w:ilvl w:val="0"/>
          <w:numId w:val="3"/>
        </w:numPr>
        <w:jc w:val="both"/>
        <w:rPr>
          <w:rFonts w:cs="Times New Roman"/>
        </w:rPr>
      </w:pPr>
      <w:r w:rsidRPr="00772B35">
        <w:rPr>
          <w:rFonts w:cs="Times New Roman"/>
        </w:rPr>
        <w:t xml:space="preserve">jamy brzusznej, </w:t>
      </w:r>
      <w:r w:rsidR="00B847E4" w:rsidRPr="00772B35">
        <w:rPr>
          <w:rFonts w:cs="Times New Roman"/>
        </w:rPr>
        <w:t>p</w:t>
      </w:r>
      <w:r w:rsidRPr="00772B35">
        <w:rPr>
          <w:rFonts w:cs="Times New Roman"/>
        </w:rPr>
        <w:t>iersi, tarczycy, węzłów chłonnych, moszny,</w:t>
      </w:r>
    </w:p>
    <w:p w:rsidR="00B847E4" w:rsidRPr="00772B35" w:rsidRDefault="00B847E4" w:rsidP="00D43E32">
      <w:pPr>
        <w:pStyle w:val="Textbody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772B35">
        <w:rPr>
          <w:rFonts w:cs="Times New Roman"/>
        </w:rPr>
        <w:t>dopplerowskich – naczyń tętniczych i żylnych kończyn górnych i dolnych</w:t>
      </w:r>
      <w:r w:rsidR="0073597E" w:rsidRPr="00772B35">
        <w:rPr>
          <w:rFonts w:cs="Times New Roman"/>
        </w:rPr>
        <w:t>,</w:t>
      </w:r>
      <w:r w:rsidRPr="00772B35">
        <w:rPr>
          <w:rFonts w:cs="Times New Roman"/>
        </w:rPr>
        <w:t xml:space="preserve"> tętnic szyjnych i kręgowych (dogłowowych)</w:t>
      </w:r>
      <w:r w:rsidR="0073597E" w:rsidRPr="00772B35">
        <w:rPr>
          <w:rFonts w:cs="Times New Roman"/>
        </w:rPr>
        <w:t>,</w:t>
      </w:r>
      <w:r w:rsidRPr="00772B35">
        <w:rPr>
          <w:rFonts w:cs="Times New Roman"/>
        </w:rPr>
        <w:t xml:space="preserve"> </w:t>
      </w:r>
      <w:r w:rsidR="00EA7884" w:rsidRPr="00772B35">
        <w:rPr>
          <w:rFonts w:cs="Times New Roman"/>
        </w:rPr>
        <w:t>tętnic</w:t>
      </w:r>
      <w:r w:rsidRPr="00772B35">
        <w:rPr>
          <w:rFonts w:cs="Times New Roman"/>
        </w:rPr>
        <w:t xml:space="preserve"> nerkowych (w diagnostyce nad</w:t>
      </w:r>
      <w:r w:rsidR="0073597E" w:rsidRPr="00772B35">
        <w:rPr>
          <w:rFonts w:cs="Times New Roman"/>
        </w:rPr>
        <w:t>ciśnienia naczyniowo–nerkowego).</w:t>
      </w:r>
    </w:p>
    <w:p w:rsidR="0073597E" w:rsidRPr="00772B35" w:rsidRDefault="0073597E" w:rsidP="00D43E32">
      <w:pPr>
        <w:pStyle w:val="Textbody"/>
        <w:spacing w:after="0"/>
        <w:ind w:left="707"/>
        <w:jc w:val="both"/>
        <w:rPr>
          <w:rFonts w:cs="Times New Roman"/>
        </w:rPr>
      </w:pPr>
    </w:p>
    <w:p w:rsidR="00B847E4" w:rsidRPr="00772B35" w:rsidRDefault="00B847E4" w:rsidP="00D43E32">
      <w:pPr>
        <w:pStyle w:val="Textbody"/>
        <w:jc w:val="both"/>
        <w:rPr>
          <w:rFonts w:cs="Times New Roman"/>
        </w:rPr>
      </w:pPr>
      <w:r w:rsidRPr="00772B35">
        <w:rPr>
          <w:rFonts w:cs="Times New Roman"/>
        </w:rPr>
        <w:t>Badania USG realizowane są w oparciu o skierowanie wystawione przez placówki posiadające umowę bezpośrednio z </w:t>
      </w:r>
      <w:r w:rsidRPr="00772B35">
        <w:rPr>
          <w:rStyle w:val="StrongEmphasis"/>
          <w:rFonts w:cs="Times New Roman"/>
        </w:rPr>
        <w:t>CSK.</w:t>
      </w:r>
    </w:p>
    <w:p w:rsidR="000D7D67" w:rsidRPr="000D7D67" w:rsidRDefault="000D7D67">
      <w:pPr>
        <w:rPr>
          <w:rFonts w:cstheme="minorHAnsi"/>
        </w:rPr>
      </w:pPr>
    </w:p>
    <w:sectPr w:rsidR="000D7D67" w:rsidRPr="000D7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4A" w:rsidRDefault="005C2C4A" w:rsidP="00FF578A">
      <w:pPr>
        <w:spacing w:after="0" w:line="240" w:lineRule="auto"/>
      </w:pPr>
      <w:r>
        <w:separator/>
      </w:r>
    </w:p>
  </w:endnote>
  <w:endnote w:type="continuationSeparator" w:id="0">
    <w:p w:rsidR="005C2C4A" w:rsidRDefault="005C2C4A" w:rsidP="00FF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4A" w:rsidRDefault="005C2C4A" w:rsidP="00FF578A">
      <w:pPr>
        <w:spacing w:after="0" w:line="240" w:lineRule="auto"/>
      </w:pPr>
      <w:r>
        <w:separator/>
      </w:r>
    </w:p>
  </w:footnote>
  <w:footnote w:type="continuationSeparator" w:id="0">
    <w:p w:rsidR="005C2C4A" w:rsidRDefault="005C2C4A" w:rsidP="00FF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60"/>
      <w:gridCol w:w="7021"/>
    </w:tblGrid>
    <w:tr w:rsidR="00FF578A" w:rsidRPr="00066AD9" w:rsidTr="00FF578A">
      <w:trPr>
        <w:cantSplit/>
        <w:trHeight w:val="508"/>
        <w:jc w:val="center"/>
      </w:trPr>
      <w:tc>
        <w:tcPr>
          <w:tcW w:w="2160" w:type="dxa"/>
          <w:vMerge w:val="restart"/>
          <w:vAlign w:val="center"/>
        </w:tcPr>
        <w:p w:rsidR="00FF578A" w:rsidRPr="00066AD9" w:rsidRDefault="00FF578A" w:rsidP="00FF578A">
          <w:pPr>
            <w:spacing w:after="12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</w:pPr>
          <w:r w:rsidRPr="00066AD9"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8CD3D64" wp14:editId="64B8DB59">
                <wp:extent cx="1028700" cy="7143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578A" w:rsidRPr="00066AD9" w:rsidRDefault="00FF578A" w:rsidP="00FF578A">
          <w:pPr>
            <w:spacing w:after="120" w:line="240" w:lineRule="auto"/>
            <w:jc w:val="center"/>
            <w:rPr>
              <w:rFonts w:ascii="Arial" w:eastAsia="Calibri" w:hAnsi="Arial" w:cs="Arial"/>
              <w:b/>
              <w:color w:val="0000FF"/>
              <w:szCs w:val="20"/>
              <w:lang w:eastAsia="pl-PL"/>
            </w:rPr>
          </w:pPr>
          <w:r w:rsidRPr="00066AD9">
            <w:rPr>
              <w:rFonts w:ascii="Arial" w:eastAsia="Calibri" w:hAnsi="Arial" w:cs="Arial"/>
              <w:noProof/>
              <w:color w:val="1F497D"/>
              <w:sz w:val="16"/>
              <w:szCs w:val="16"/>
              <w:lang w:eastAsia="pl-PL"/>
            </w:rPr>
            <w:t>CSK UM w ŁODZI</w:t>
          </w:r>
        </w:p>
      </w:tc>
      <w:tc>
        <w:tcPr>
          <w:tcW w:w="7021" w:type="dxa"/>
          <w:vMerge w:val="restart"/>
          <w:vAlign w:val="center"/>
        </w:tcPr>
        <w:p w:rsidR="00FF578A" w:rsidRDefault="00FF578A" w:rsidP="00FF578A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Informacja dla pacjenta</w:t>
          </w:r>
        </w:p>
        <w:p w:rsidR="00FF578A" w:rsidRPr="00066AD9" w:rsidRDefault="00FF578A" w:rsidP="00FF578A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Zakład Medycyny Nuklearnej</w:t>
          </w:r>
        </w:p>
      </w:tc>
    </w:tr>
    <w:tr w:rsidR="00FF578A" w:rsidRPr="00066AD9" w:rsidTr="00FF578A">
      <w:trPr>
        <w:cantSplit/>
        <w:trHeight w:val="322"/>
        <w:jc w:val="center"/>
      </w:trPr>
      <w:tc>
        <w:tcPr>
          <w:tcW w:w="2160" w:type="dxa"/>
          <w:vMerge/>
        </w:tcPr>
        <w:p w:rsidR="00FF578A" w:rsidRPr="00066AD9" w:rsidRDefault="00FF578A" w:rsidP="00FF578A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FF578A" w:rsidRPr="00066AD9" w:rsidRDefault="00FF578A" w:rsidP="00FF578A">
          <w:pPr>
            <w:keepNext/>
            <w:spacing w:before="240" w:after="0" w:line="240" w:lineRule="auto"/>
            <w:jc w:val="center"/>
            <w:outlineLvl w:val="2"/>
            <w:rPr>
              <w:rFonts w:ascii="Arial" w:eastAsia="Calibri" w:hAnsi="Arial" w:cs="Arial"/>
              <w:smallCaps/>
              <w:color w:val="0000FF"/>
              <w:sz w:val="16"/>
              <w:szCs w:val="24"/>
              <w:lang w:eastAsia="pl-PL"/>
            </w:rPr>
          </w:pPr>
        </w:p>
      </w:tc>
    </w:tr>
    <w:tr w:rsidR="00FF578A" w:rsidRPr="00066AD9" w:rsidTr="003D24FB">
      <w:trPr>
        <w:cantSplit/>
        <w:trHeight w:val="350"/>
        <w:jc w:val="center"/>
      </w:trPr>
      <w:tc>
        <w:tcPr>
          <w:tcW w:w="2160" w:type="dxa"/>
          <w:vMerge/>
        </w:tcPr>
        <w:p w:rsidR="00FF578A" w:rsidRPr="00066AD9" w:rsidRDefault="00FF578A" w:rsidP="00FF578A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 w:val="restart"/>
          <w:vAlign w:val="center"/>
        </w:tcPr>
        <w:p w:rsidR="00FF578A" w:rsidRPr="00066AD9" w:rsidRDefault="003D24FB" w:rsidP="00FF578A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Informacja ogólna</w:t>
          </w:r>
        </w:p>
      </w:tc>
    </w:tr>
    <w:tr w:rsidR="00FF578A" w:rsidRPr="00066AD9" w:rsidTr="00FF578A">
      <w:trPr>
        <w:cantSplit/>
        <w:trHeight w:val="456"/>
        <w:jc w:val="center"/>
      </w:trPr>
      <w:tc>
        <w:tcPr>
          <w:tcW w:w="2160" w:type="dxa"/>
          <w:vMerge/>
        </w:tcPr>
        <w:p w:rsidR="00FF578A" w:rsidRPr="00066AD9" w:rsidRDefault="00FF578A" w:rsidP="00FF578A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FF578A" w:rsidRPr="00066AD9" w:rsidRDefault="00FF578A" w:rsidP="00FF578A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</w:tr>
  </w:tbl>
  <w:p w:rsidR="00FF578A" w:rsidRDefault="00FF5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FE3"/>
    <w:multiLevelType w:val="multilevel"/>
    <w:tmpl w:val="5DB205A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45494709"/>
    <w:multiLevelType w:val="multilevel"/>
    <w:tmpl w:val="B934A91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48EA0EB2"/>
    <w:multiLevelType w:val="multilevel"/>
    <w:tmpl w:val="0856385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FF67F7C"/>
    <w:multiLevelType w:val="hybridMultilevel"/>
    <w:tmpl w:val="EFB4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71"/>
    <w:rsid w:val="000620E9"/>
    <w:rsid w:val="000D7D67"/>
    <w:rsid w:val="00184971"/>
    <w:rsid w:val="001F2BC2"/>
    <w:rsid w:val="002804B2"/>
    <w:rsid w:val="002F41B5"/>
    <w:rsid w:val="0031130D"/>
    <w:rsid w:val="003415B8"/>
    <w:rsid w:val="0035575A"/>
    <w:rsid w:val="003D24FB"/>
    <w:rsid w:val="004B5039"/>
    <w:rsid w:val="00524991"/>
    <w:rsid w:val="005252EC"/>
    <w:rsid w:val="005A2D0A"/>
    <w:rsid w:val="005C2C4A"/>
    <w:rsid w:val="005C2E3D"/>
    <w:rsid w:val="00634F4B"/>
    <w:rsid w:val="006F7528"/>
    <w:rsid w:val="007235BE"/>
    <w:rsid w:val="0073597E"/>
    <w:rsid w:val="00750109"/>
    <w:rsid w:val="00753AB9"/>
    <w:rsid w:val="00772B35"/>
    <w:rsid w:val="0077609E"/>
    <w:rsid w:val="007B3395"/>
    <w:rsid w:val="00830641"/>
    <w:rsid w:val="008601FC"/>
    <w:rsid w:val="00877D83"/>
    <w:rsid w:val="008B7555"/>
    <w:rsid w:val="00904BCB"/>
    <w:rsid w:val="009628FA"/>
    <w:rsid w:val="009A21A3"/>
    <w:rsid w:val="009F4217"/>
    <w:rsid w:val="00A07A13"/>
    <w:rsid w:val="00B0270D"/>
    <w:rsid w:val="00B06C86"/>
    <w:rsid w:val="00B847E4"/>
    <w:rsid w:val="00D00306"/>
    <w:rsid w:val="00D43E32"/>
    <w:rsid w:val="00D67A7F"/>
    <w:rsid w:val="00DF1187"/>
    <w:rsid w:val="00E47939"/>
    <w:rsid w:val="00E519D9"/>
    <w:rsid w:val="00EA7884"/>
    <w:rsid w:val="00EF7C56"/>
    <w:rsid w:val="00F12F62"/>
    <w:rsid w:val="00F97D26"/>
    <w:rsid w:val="00FB17E3"/>
    <w:rsid w:val="00FD2810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98D53"/>
  <w15:docId w15:val="{E6710636-D309-446D-A156-A7ADAC00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D7D6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847E4"/>
    <w:rPr>
      <w:b/>
      <w:bCs/>
    </w:rPr>
  </w:style>
  <w:style w:type="paragraph" w:styleId="Akapitzlist">
    <w:name w:val="List Paragraph"/>
    <w:basedOn w:val="Normalny"/>
    <w:uiPriority w:val="34"/>
    <w:qFormat/>
    <w:rsid w:val="005252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78A"/>
  </w:style>
  <w:style w:type="paragraph" w:styleId="Stopka">
    <w:name w:val="footer"/>
    <w:basedOn w:val="Normalny"/>
    <w:link w:val="StopkaZnak"/>
    <w:uiPriority w:val="99"/>
    <w:unhideWhenUsed/>
    <w:rsid w:val="00FF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CSK-B1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Aulich</dc:creator>
  <cp:lastModifiedBy>Monika Żuraw</cp:lastModifiedBy>
  <cp:revision>6</cp:revision>
  <dcterms:created xsi:type="dcterms:W3CDTF">2022-01-31T10:06:00Z</dcterms:created>
  <dcterms:modified xsi:type="dcterms:W3CDTF">2022-02-03T08:20:00Z</dcterms:modified>
</cp:coreProperties>
</file>