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FF21B0" w:rsidRPr="00903E75" w:rsidTr="00FF21B0">
        <w:trPr>
          <w:jc w:val="center"/>
        </w:trPr>
        <w:tc>
          <w:tcPr>
            <w:tcW w:w="1134" w:type="dxa"/>
          </w:tcPr>
          <w:p w:rsidR="00FF21B0" w:rsidRPr="00903E75" w:rsidRDefault="00FF21B0" w:rsidP="00007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FF21B0" w:rsidRPr="00903E75" w:rsidRDefault="00FF21B0" w:rsidP="0000764C">
            <w:pPr>
              <w:pStyle w:val="Standard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</w:rPr>
              <w:t>nazwisko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FF21B0" w:rsidRPr="00903E75" w:rsidRDefault="00FF21B0" w:rsidP="0000764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FF21B0" w:rsidRPr="00903E75" w:rsidRDefault="00FF21B0" w:rsidP="0000764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FF21B0" w:rsidRPr="00903E75" w:rsidTr="00FF21B0">
        <w:trPr>
          <w:trHeight w:val="454"/>
          <w:jc w:val="center"/>
        </w:trPr>
        <w:tc>
          <w:tcPr>
            <w:tcW w:w="1134" w:type="dxa"/>
            <w:vAlign w:val="center"/>
          </w:tcPr>
          <w:p w:rsidR="00FF21B0" w:rsidRPr="00903E75" w:rsidRDefault="00FF21B0" w:rsidP="0000764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FF21B0" w:rsidRDefault="00FF21B0" w:rsidP="0000764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FF21B0" w:rsidRPr="00EC339F" w:rsidRDefault="00FF21B0" w:rsidP="0000764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FF21B0" w:rsidRPr="00903E75" w:rsidRDefault="00FF21B0" w:rsidP="0000764C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FF21B0" w:rsidRPr="00903E75" w:rsidRDefault="00FF21B0" w:rsidP="0000764C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FF21B0" w:rsidRPr="00903E75" w:rsidTr="00FF21B0">
        <w:trPr>
          <w:trHeight w:val="454"/>
          <w:jc w:val="center"/>
        </w:trPr>
        <w:tc>
          <w:tcPr>
            <w:tcW w:w="1134" w:type="dxa"/>
            <w:vAlign w:val="center"/>
          </w:tcPr>
          <w:p w:rsidR="00FF21B0" w:rsidRPr="00903E75" w:rsidRDefault="00FF21B0" w:rsidP="0000764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FF21B0" w:rsidRPr="00903E75" w:rsidRDefault="00FF21B0" w:rsidP="0000764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FF21B0" w:rsidRPr="00903E75" w:rsidRDefault="00FF21B0" w:rsidP="0000764C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FF21B0" w:rsidRPr="00903E75" w:rsidRDefault="00FF21B0" w:rsidP="0000764C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 badania:</w:t>
      </w:r>
    </w:p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Cholescyntygrafia pozwala na ocenę czynności miąższu wątroby, drożności i kinetyki dróg żółciowych oraz obecności wad wrodzonych, m.in. atrez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ji dróg żółciowych.</w:t>
      </w:r>
    </w:p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Przeciwwskazania do badania:</w:t>
      </w:r>
    </w:p>
    <w:p w:rsidR="00CB04BC" w:rsidRDefault="00CB04BC" w:rsidP="00CB04BC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CB04BC" w:rsidRDefault="00CB04BC" w:rsidP="00CB04BC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460205">
        <w:rPr>
          <w:rFonts w:ascii="Times New Roman" w:eastAsia="Times New Roman" w:hAnsi="Times New Roman" w:cs="Times New Roman"/>
        </w:rPr>
        <w:t xml:space="preserve"> naszej placówki</w:t>
      </w:r>
      <w:r w:rsidR="00D0301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Przygotowanie do badania:</w:t>
      </w:r>
    </w:p>
    <w:p w:rsidR="00CB04BC" w:rsidRPr="00D03012" w:rsidRDefault="00CB04BC" w:rsidP="00CB04BC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Przed badaniem </w:t>
      </w:r>
      <w:r w:rsidR="00460205">
        <w:rPr>
          <w:rFonts w:ascii="Times New Roman" w:eastAsia="Times New Roman" w:hAnsi="Times New Roman" w:cs="Times New Roman"/>
          <w:u w:val="single"/>
        </w:rPr>
        <w:t xml:space="preserve">należy pozostać na czczo </w:t>
      </w:r>
      <w:r w:rsidR="00460205" w:rsidRPr="00460205">
        <w:rPr>
          <w:rFonts w:ascii="Times New Roman" w:eastAsia="Times New Roman" w:hAnsi="Times New Roman" w:cs="Times New Roman"/>
        </w:rPr>
        <w:t>(nie dotyczy niemowląt).</w:t>
      </w:r>
    </w:p>
    <w:p w:rsidR="00CB04BC" w:rsidRDefault="007C17A5" w:rsidP="00CB04BC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badania niemowląt - nie muszą</w:t>
      </w:r>
      <w:r w:rsidR="00CB04BC">
        <w:rPr>
          <w:rFonts w:ascii="Times New Roman" w:eastAsia="Times New Roman" w:hAnsi="Times New Roman" w:cs="Times New Roman"/>
        </w:rPr>
        <w:t xml:space="preserve"> pozostawać na czczo.</w:t>
      </w:r>
    </w:p>
    <w:p w:rsidR="00CB04BC" w:rsidRDefault="00CB04BC" w:rsidP="00CB04BC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Przebieg badania:</w:t>
      </w:r>
    </w:p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Pacjent będzie miał założone wkłucie dożylne (wenflon) i zostanie ułożony na plecach pod aparaturą pomiarową (gamma kamerą). Badanie rozpocznie się w momencie dożylnego podania niewielkiej ilości znacznika promieniotwórczego (radiofar</w:t>
      </w:r>
      <w:r w:rsidR="00C65D8A">
        <w:rPr>
          <w:rFonts w:ascii="Times New Roman" w:eastAsia="Times New Roman" w:hAnsi="Times New Roman" w:cs="Times New Roman"/>
        </w:rPr>
        <w:t>maceutyku) i będzie trwało ok. 3</w:t>
      </w:r>
      <w:r>
        <w:rPr>
          <w:rFonts w:ascii="Times New Roman" w:eastAsia="Times New Roman" w:hAnsi="Times New Roman" w:cs="Times New Roman"/>
        </w:rPr>
        <w:t>0 minut. W razie konieczności po</w:t>
      </w:r>
      <w:r w:rsidR="00C65D8A">
        <w:rPr>
          <w:rFonts w:ascii="Times New Roman" w:eastAsia="Times New Roman" w:hAnsi="Times New Roman" w:cs="Times New Roman"/>
        </w:rPr>
        <w:t xml:space="preserve"> 30 minutach, 4 godzinach lub</w:t>
      </w:r>
      <w:r>
        <w:rPr>
          <w:rFonts w:ascii="Times New Roman" w:eastAsia="Times New Roman" w:hAnsi="Times New Roman" w:cs="Times New Roman"/>
        </w:rPr>
        <w:t xml:space="preserve"> 24 godzinach zostaną wykonane dodatkowe </w:t>
      </w:r>
      <w:r w:rsidR="00C65D8A">
        <w:rPr>
          <w:rFonts w:ascii="Times New Roman" w:eastAsia="Times New Roman" w:hAnsi="Times New Roman" w:cs="Times New Roman"/>
        </w:rPr>
        <w:t>badania</w:t>
      </w:r>
      <w:r>
        <w:rPr>
          <w:rFonts w:ascii="Times New Roman" w:eastAsia="Times New Roman" w:hAnsi="Times New Roman" w:cs="Times New Roman"/>
        </w:rPr>
        <w:t>, trwające po ok. 10 minut.</w:t>
      </w:r>
    </w:p>
    <w:p w:rsidR="00CB04BC" w:rsidRDefault="00CB04BC" w:rsidP="00CB04BC">
      <w:pPr>
        <w:pStyle w:val="Standard"/>
        <w:jc w:val="both"/>
      </w:pPr>
    </w:p>
    <w:p w:rsidR="00CB04BC" w:rsidRPr="009F7179" w:rsidRDefault="00CB04BC" w:rsidP="00CB04BC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Zalecenia po badaniu:</w:t>
      </w:r>
    </w:p>
    <w:p w:rsidR="00CB04BC" w:rsidRPr="00BF6E03" w:rsidRDefault="00CB04BC" w:rsidP="00CB04B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7179">
        <w:rPr>
          <w:rFonts w:ascii="Times New Roman" w:hAnsi="Times New Roman" w:cs="Times New Roman"/>
        </w:rPr>
        <w:t xml:space="preserve">W związku ze stosowaniem izotopów promieniotwórczych </w:t>
      </w:r>
      <w:r w:rsidR="00460205">
        <w:rPr>
          <w:rFonts w:ascii="Times New Roman" w:hAnsi="Times New Roman" w:cs="Times New Roman"/>
        </w:rPr>
        <w:t xml:space="preserve">w dniu badania </w:t>
      </w:r>
      <w:r w:rsidRPr="009F7179">
        <w:rPr>
          <w:rFonts w:ascii="Times New Roman" w:hAnsi="Times New Roman" w:cs="Times New Roman"/>
        </w:rPr>
        <w:t xml:space="preserve">zaleca się unikanie kontaktów z kobietami w ciąży i </w:t>
      </w:r>
      <w:r w:rsidR="00D03012">
        <w:rPr>
          <w:rFonts w:ascii="Times New Roman" w:hAnsi="Times New Roman" w:cs="Times New Roman"/>
        </w:rPr>
        <w:t xml:space="preserve">małymi </w:t>
      </w:r>
      <w:r w:rsidRPr="009F7179">
        <w:rPr>
          <w:rFonts w:ascii="Times New Roman" w:hAnsi="Times New Roman" w:cs="Times New Roman"/>
        </w:rPr>
        <w:t>dziećmi.</w:t>
      </w:r>
    </w:p>
    <w:p w:rsidR="00CB04BC" w:rsidRDefault="00CB04BC" w:rsidP="00CB04BC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B04BC" w:rsidRPr="00BF6E03" w:rsidRDefault="00CB04BC" w:rsidP="00CB04BC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F6E03">
        <w:rPr>
          <w:rFonts w:ascii="Times New Roman" w:eastAsia="Times New Roman" w:hAnsi="Times New Roman" w:cs="Times New Roman"/>
          <w:b/>
        </w:rPr>
        <w:t>Łączny czas pobytu w Zakładzie wynosi 2-5 godzin.</w:t>
      </w:r>
    </w:p>
    <w:p w:rsidR="00E26AF4" w:rsidRDefault="00E26AF4" w:rsidP="00CB04BC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CB04BC" w:rsidRPr="00BF6E03" w:rsidRDefault="00CB04BC" w:rsidP="00CB04BC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F6E03">
        <w:rPr>
          <w:rFonts w:ascii="Times New Roman" w:eastAsia="Times New Roman" w:hAnsi="Times New Roman" w:cs="Times New Roman"/>
          <w:b/>
        </w:rPr>
        <w:t>W razie konieczności</w:t>
      </w:r>
      <w:r>
        <w:rPr>
          <w:rFonts w:ascii="Times New Roman" w:eastAsia="Times New Roman" w:hAnsi="Times New Roman" w:cs="Times New Roman"/>
          <w:b/>
        </w:rPr>
        <w:t xml:space="preserve"> - </w:t>
      </w:r>
      <w:r w:rsidRPr="00BF6E03">
        <w:rPr>
          <w:rFonts w:ascii="Times New Roman" w:eastAsia="Times New Roman" w:hAnsi="Times New Roman" w:cs="Times New Roman"/>
          <w:b/>
        </w:rPr>
        <w:t xml:space="preserve">po 24 godzinach należy stawić się w Zakładzie na umówioną godzinę, w celu wykonania dodatkowego </w:t>
      </w:r>
      <w:r w:rsidR="00C65D8A">
        <w:rPr>
          <w:rFonts w:ascii="Times New Roman" w:eastAsia="Times New Roman" w:hAnsi="Times New Roman" w:cs="Times New Roman"/>
          <w:b/>
        </w:rPr>
        <w:t>badania</w:t>
      </w:r>
      <w:r w:rsidRPr="00BF6E03">
        <w:rPr>
          <w:rFonts w:ascii="Times New Roman" w:eastAsia="Times New Roman" w:hAnsi="Times New Roman" w:cs="Times New Roman"/>
          <w:b/>
        </w:rPr>
        <w:t xml:space="preserve"> (</w:t>
      </w:r>
      <w:r w:rsidR="00C65D8A">
        <w:rPr>
          <w:rFonts w:ascii="Times New Roman" w:eastAsia="Times New Roman" w:hAnsi="Times New Roman" w:cs="Times New Roman"/>
          <w:b/>
        </w:rPr>
        <w:t xml:space="preserve">czas pobytu </w:t>
      </w:r>
      <w:r w:rsidR="00E26AF4">
        <w:rPr>
          <w:rFonts w:ascii="Times New Roman" w:eastAsia="Times New Roman" w:hAnsi="Times New Roman" w:cs="Times New Roman"/>
          <w:b/>
        </w:rPr>
        <w:t xml:space="preserve">w Zakładzie </w:t>
      </w:r>
      <w:r w:rsidR="00C65D8A">
        <w:rPr>
          <w:rFonts w:ascii="Times New Roman" w:eastAsia="Times New Roman" w:hAnsi="Times New Roman" w:cs="Times New Roman"/>
          <w:b/>
        </w:rPr>
        <w:t xml:space="preserve">wynosi </w:t>
      </w:r>
      <w:r w:rsidRPr="00BF6E03">
        <w:rPr>
          <w:rFonts w:ascii="Times New Roman" w:eastAsia="Times New Roman" w:hAnsi="Times New Roman" w:cs="Times New Roman"/>
          <w:b/>
        </w:rPr>
        <w:t>ok. 15-30 minut).</w:t>
      </w:r>
    </w:p>
    <w:p w:rsidR="00CB04BC" w:rsidRPr="00BF6E03" w:rsidRDefault="00CB04BC" w:rsidP="00CB04BC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A56DCE" w:rsidRDefault="00A56DCE"/>
    <w:p w:rsidR="00CB04BC" w:rsidRDefault="00CB04BC"/>
    <w:sectPr w:rsidR="00CB0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35" w:rsidRDefault="00327635" w:rsidP="00FF21B0">
      <w:pPr>
        <w:spacing w:after="0" w:line="240" w:lineRule="auto"/>
      </w:pPr>
      <w:r>
        <w:separator/>
      </w:r>
    </w:p>
  </w:endnote>
  <w:endnote w:type="continuationSeparator" w:id="0">
    <w:p w:rsidR="00327635" w:rsidRDefault="00327635" w:rsidP="00FF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35" w:rsidRDefault="00327635" w:rsidP="00FF21B0">
      <w:pPr>
        <w:spacing w:after="0" w:line="240" w:lineRule="auto"/>
      </w:pPr>
      <w:r>
        <w:separator/>
      </w:r>
    </w:p>
  </w:footnote>
  <w:footnote w:type="continuationSeparator" w:id="0">
    <w:p w:rsidR="00327635" w:rsidRDefault="00327635" w:rsidP="00FF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FF21B0" w:rsidRPr="00066AD9" w:rsidTr="00FF21B0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FF21B0" w:rsidRPr="00066AD9" w:rsidRDefault="00FF21B0" w:rsidP="00FF21B0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809072C" wp14:editId="6D65146C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21B0" w:rsidRPr="00066AD9" w:rsidRDefault="00FF21B0" w:rsidP="00FF21B0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FF21B0" w:rsidRDefault="00FF21B0" w:rsidP="00FF21B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FF21B0" w:rsidRPr="00066AD9" w:rsidRDefault="00FF21B0" w:rsidP="00FF21B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FF21B0" w:rsidRPr="00066AD9" w:rsidTr="00FF21B0">
      <w:trPr>
        <w:cantSplit/>
        <w:trHeight w:val="322"/>
        <w:jc w:val="center"/>
      </w:trPr>
      <w:tc>
        <w:tcPr>
          <w:tcW w:w="2160" w:type="dxa"/>
          <w:vMerge/>
        </w:tcPr>
        <w:p w:rsidR="00FF21B0" w:rsidRPr="00066AD9" w:rsidRDefault="00FF21B0" w:rsidP="00FF21B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FF21B0" w:rsidRPr="00066AD9" w:rsidRDefault="00FF21B0" w:rsidP="00FF21B0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FF21B0" w:rsidRPr="00066AD9" w:rsidTr="00FF21B0">
      <w:trPr>
        <w:cantSplit/>
        <w:trHeight w:val="350"/>
        <w:jc w:val="center"/>
      </w:trPr>
      <w:tc>
        <w:tcPr>
          <w:tcW w:w="2160" w:type="dxa"/>
          <w:vMerge/>
        </w:tcPr>
        <w:p w:rsidR="00FF21B0" w:rsidRPr="00066AD9" w:rsidRDefault="00FF21B0" w:rsidP="00FF21B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  <w:vAlign w:val="center"/>
        </w:tcPr>
        <w:p w:rsidR="00FF21B0" w:rsidRDefault="00FF21B0" w:rsidP="00FF21B0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FF21B0" w:rsidRDefault="00FF21B0" w:rsidP="00FF21B0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</w:rPr>
            <w:t>Cholescyntygrafia</w:t>
          </w:r>
        </w:p>
        <w:p w:rsidR="00FF21B0" w:rsidRPr="00066AD9" w:rsidRDefault="00FF21B0" w:rsidP="00FF21B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FF21B0" w:rsidRPr="00066AD9" w:rsidTr="00FF21B0">
      <w:trPr>
        <w:cantSplit/>
        <w:trHeight w:val="456"/>
        <w:jc w:val="center"/>
      </w:trPr>
      <w:tc>
        <w:tcPr>
          <w:tcW w:w="2160" w:type="dxa"/>
          <w:vMerge/>
        </w:tcPr>
        <w:p w:rsidR="00FF21B0" w:rsidRPr="00066AD9" w:rsidRDefault="00FF21B0" w:rsidP="00FF21B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FF21B0" w:rsidRPr="00066AD9" w:rsidRDefault="00FF21B0" w:rsidP="00FF21B0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FF21B0" w:rsidRDefault="00FF2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6B002ABC"/>
    <w:multiLevelType w:val="hybridMultilevel"/>
    <w:tmpl w:val="515C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759B1"/>
    <w:multiLevelType w:val="hybridMultilevel"/>
    <w:tmpl w:val="D80E1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70"/>
    <w:rsid w:val="000D5470"/>
    <w:rsid w:val="00327635"/>
    <w:rsid w:val="00406B5B"/>
    <w:rsid w:val="00460205"/>
    <w:rsid w:val="004772EE"/>
    <w:rsid w:val="00767B3B"/>
    <w:rsid w:val="007C17A5"/>
    <w:rsid w:val="00A56DCE"/>
    <w:rsid w:val="00C65D8A"/>
    <w:rsid w:val="00CB04BC"/>
    <w:rsid w:val="00D03012"/>
    <w:rsid w:val="00E26AF4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E6A1"/>
  <w15:docId w15:val="{B3472AEA-9424-4A4C-8A83-A4DCA44E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4BC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1B0"/>
  </w:style>
  <w:style w:type="paragraph" w:styleId="Stopka">
    <w:name w:val="footer"/>
    <w:basedOn w:val="Normalny"/>
    <w:link w:val="StopkaZnak"/>
    <w:uiPriority w:val="99"/>
    <w:unhideWhenUsed/>
    <w:rsid w:val="00FF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2022-01-31T10:19:00Z</dcterms:created>
  <dcterms:modified xsi:type="dcterms:W3CDTF">2022-02-03T07:30:00Z</dcterms:modified>
</cp:coreProperties>
</file>