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4820"/>
        <w:gridCol w:w="1417"/>
        <w:gridCol w:w="1809"/>
      </w:tblGrid>
      <w:tr w:rsidR="00BB3FBD" w:rsidRPr="00903E75" w:rsidTr="00BB3FBD">
        <w:trPr>
          <w:jc w:val="center"/>
        </w:trPr>
        <w:tc>
          <w:tcPr>
            <w:tcW w:w="1134" w:type="dxa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820" w:type="dxa"/>
          </w:tcPr>
          <w:p w:rsidR="00BB3FBD" w:rsidRPr="00903E75" w:rsidRDefault="00BB3FBD" w:rsidP="006B7A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1417" w:type="dxa"/>
          </w:tcPr>
          <w:p w:rsidR="00BB3FBD" w:rsidRPr="00903E75" w:rsidRDefault="00BB3FBD" w:rsidP="006B7A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data</w:t>
            </w:r>
          </w:p>
        </w:tc>
        <w:tc>
          <w:tcPr>
            <w:tcW w:w="1809" w:type="dxa"/>
          </w:tcPr>
          <w:p w:rsidR="00BB3FBD" w:rsidRPr="00903E75" w:rsidRDefault="00BB3FBD" w:rsidP="006B7A02">
            <w:pPr>
              <w:spacing w:after="0" w:line="240" w:lineRule="auto"/>
              <w:jc w:val="center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podpis</w:t>
            </w:r>
          </w:p>
        </w:tc>
      </w:tr>
      <w:tr w:rsidR="00BB3FBD" w:rsidRPr="00903E75" w:rsidTr="00BB3FBD">
        <w:trPr>
          <w:trHeight w:val="454"/>
          <w:jc w:val="center"/>
        </w:trPr>
        <w:tc>
          <w:tcPr>
            <w:tcW w:w="1134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opracował</w:t>
            </w:r>
          </w:p>
        </w:tc>
        <w:tc>
          <w:tcPr>
            <w:tcW w:w="4820" w:type="dxa"/>
            <w:vAlign w:val="center"/>
          </w:tcPr>
          <w:p w:rsidR="00BB3FBD" w:rsidRDefault="00BB3FBD" w:rsidP="006B7A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Lek.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Aleksandr</w:t>
            </w:r>
            <w:r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a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> Aulich</w:t>
            </w:r>
          </w:p>
          <w:p w:rsidR="00BB3FBD" w:rsidRPr="00EC339F" w:rsidRDefault="00BB3FBD" w:rsidP="006B7A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highlight w:val="yellow"/>
                <w:lang w:eastAsia="pl-PL"/>
              </w:rPr>
            </w:pPr>
            <w:r w:rsidRPr="00EC339F">
              <w:rPr>
                <w:rFonts w:ascii="Arial" w:eastAsia="Calibri" w:hAnsi="Arial" w:cs="Arial"/>
                <w:sz w:val="20"/>
                <w:szCs w:val="20"/>
                <w:lang w:eastAsia="pl-PL"/>
              </w:rPr>
              <w:t xml:space="preserve">Lekarz – Zakład Medycyny Nuklearnej </w:t>
            </w:r>
          </w:p>
        </w:tc>
        <w:tc>
          <w:tcPr>
            <w:tcW w:w="1417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  <w:tr w:rsidR="00BB3FBD" w:rsidRPr="00903E75" w:rsidTr="00BB3FBD">
        <w:trPr>
          <w:trHeight w:val="454"/>
          <w:jc w:val="center"/>
        </w:trPr>
        <w:tc>
          <w:tcPr>
            <w:tcW w:w="1134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i/>
                <w:sz w:val="20"/>
                <w:szCs w:val="20"/>
                <w:lang w:eastAsia="pl-PL"/>
              </w:rPr>
              <w:t>zatwierdził</w:t>
            </w:r>
          </w:p>
        </w:tc>
        <w:tc>
          <w:tcPr>
            <w:tcW w:w="4820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</w:pPr>
            <w:r w:rsidRPr="00903E75">
              <w:rPr>
                <w:rFonts w:ascii="Arial" w:eastAsia="Calibri" w:hAnsi="Arial" w:cs="Arial"/>
                <w:b/>
                <w:sz w:val="20"/>
                <w:szCs w:val="20"/>
                <w:lang w:val="en-AU" w:eastAsia="pl-PL"/>
              </w:rPr>
              <w:t xml:space="preserve">prof. dr hab. n. med. </w:t>
            </w:r>
            <w:r w:rsidRPr="00903E75">
              <w:rPr>
                <w:rFonts w:ascii="Arial" w:eastAsia="Calibri" w:hAnsi="Arial" w:cs="Arial"/>
                <w:b/>
                <w:sz w:val="20"/>
                <w:szCs w:val="20"/>
                <w:lang w:eastAsia="pl-PL"/>
              </w:rPr>
              <w:t xml:space="preserve">Zbigniew Adamczewski -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>Kierownik</w:t>
            </w:r>
            <w:r w:rsidRPr="00903E75">
              <w:rPr>
                <w:rFonts w:ascii="Arial" w:eastAsia="Calibri" w:hAnsi="Arial" w:cs="Arial"/>
                <w:bCs/>
                <w:sz w:val="20"/>
                <w:szCs w:val="20"/>
                <w:lang w:eastAsia="pl-PL"/>
              </w:rPr>
              <w:t xml:space="preserve"> Zakładu Medycyny Nuklearnej</w:t>
            </w:r>
          </w:p>
        </w:tc>
        <w:tc>
          <w:tcPr>
            <w:tcW w:w="1417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809" w:type="dxa"/>
            <w:vAlign w:val="center"/>
          </w:tcPr>
          <w:p w:rsidR="00BB3FBD" w:rsidRPr="00903E75" w:rsidRDefault="00BB3FBD" w:rsidP="006B7A02">
            <w:pPr>
              <w:spacing w:after="0" w:line="240" w:lineRule="auto"/>
              <w:rPr>
                <w:rFonts w:ascii="Arial" w:eastAsia="Calibri" w:hAnsi="Arial" w:cs="Arial"/>
                <w:i/>
                <w:sz w:val="24"/>
                <w:szCs w:val="24"/>
                <w:lang w:eastAsia="pl-PL"/>
              </w:rPr>
            </w:pPr>
          </w:p>
        </w:tc>
      </w:tr>
    </w:tbl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Cel badania: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Scyntygrafia puli krwi w wątrobie pozwala na różnicowanie naczyniaków wątroby od innych zmian ogniskowych.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Przeciwwskazania do badania:</w:t>
      </w:r>
    </w:p>
    <w:p w:rsidR="002113F9" w:rsidRPr="00553770" w:rsidRDefault="002113F9" w:rsidP="002113F9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 xml:space="preserve">Badanie jest przeciwwskazane u kobiet w ciąży. </w:t>
      </w:r>
    </w:p>
    <w:p w:rsidR="002113F9" w:rsidRPr="00553770" w:rsidRDefault="002113F9" w:rsidP="002113F9">
      <w:pPr>
        <w:pStyle w:val="Standard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W przypadku kobiet karmiących piersią wskazana jest konsultacja z lekarzem</w:t>
      </w:r>
      <w:r w:rsidR="0093589D">
        <w:rPr>
          <w:rFonts w:ascii="Times New Roman" w:eastAsia="Times New Roman" w:hAnsi="Times New Roman" w:cs="Times New Roman"/>
        </w:rPr>
        <w:t xml:space="preserve"> naszej placówki</w:t>
      </w:r>
      <w:r w:rsidR="00C626CF">
        <w:rPr>
          <w:rFonts w:ascii="Times New Roman" w:eastAsia="Times New Roman" w:hAnsi="Times New Roman" w:cs="Times New Roman"/>
        </w:rPr>
        <w:t>,</w:t>
      </w:r>
      <w:r w:rsidRPr="00553770">
        <w:rPr>
          <w:rFonts w:ascii="Times New Roman" w:eastAsia="Times New Roman" w:hAnsi="Times New Roman" w:cs="Times New Roman"/>
        </w:rPr>
        <w:t xml:space="preserve"> w celu ustalenia ewentualnego wstrzymania się od karmienia.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Przygotowanie do badania:</w:t>
      </w:r>
    </w:p>
    <w:p w:rsidR="002113F9" w:rsidRPr="00553770" w:rsidRDefault="002113F9" w:rsidP="002113F9">
      <w:pPr>
        <w:pStyle w:val="Standard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Brak ograniczeń odnośnie spożywania posiłków i przyjmowania płynów</w:t>
      </w:r>
      <w:r w:rsidRPr="00553770">
        <w:rPr>
          <w:rFonts w:ascii="Times New Roman" w:hAnsi="Times New Roman" w:cs="Times New Roman"/>
        </w:rPr>
        <w:t xml:space="preserve"> – podczas badania pacjent nie musi być na czczo.</w:t>
      </w:r>
    </w:p>
    <w:p w:rsidR="002113F9" w:rsidRPr="00553770" w:rsidRDefault="002113F9" w:rsidP="002113F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Nie trzeba odstawiać żadnych leków.</w:t>
      </w:r>
    </w:p>
    <w:p w:rsidR="002113F9" w:rsidRPr="00553770" w:rsidRDefault="002113F9" w:rsidP="002113F9">
      <w:pPr>
        <w:pStyle w:val="Standard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W przypadku pacjentów niesamodzielnych konieczne jest zapewnienie opieki przez osobę towarzyszącą.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Przebieg badania:</w:t>
      </w:r>
    </w:p>
    <w:p w:rsidR="002113F9" w:rsidRPr="00553770" w:rsidRDefault="002113F9" w:rsidP="002113F9">
      <w:pPr>
        <w:pStyle w:val="Standard"/>
        <w:jc w:val="both"/>
        <w:rPr>
          <w:rFonts w:ascii="Times New Roman" w:hAnsi="Times New Roman" w:cs="Times New Roman"/>
        </w:rPr>
      </w:pPr>
      <w:r w:rsidRPr="00553770">
        <w:rPr>
          <w:rFonts w:ascii="Times New Roman" w:eastAsia="Times New Roman" w:hAnsi="Times New Roman" w:cs="Times New Roman"/>
        </w:rPr>
        <w:t>Pacjent będzie miał podaną dożylnie niewielką ilość znacznika promieniotwórczego (radiofarmaceutyku). Po ok. 30 minutach pacjent zostanie ułożony na plecach pod apara</w:t>
      </w:r>
      <w:r w:rsidR="002968A9">
        <w:rPr>
          <w:rFonts w:ascii="Times New Roman" w:eastAsia="Times New Roman" w:hAnsi="Times New Roman" w:cs="Times New Roman"/>
        </w:rPr>
        <w:t xml:space="preserve">turą pomiarową (gamma kamerą). </w:t>
      </w:r>
      <w:r w:rsidRPr="00553770">
        <w:rPr>
          <w:rFonts w:ascii="Times New Roman" w:eastAsia="Times New Roman" w:hAnsi="Times New Roman" w:cs="Times New Roman"/>
        </w:rPr>
        <w:t>Badanie na kamerze będzie trwało ok. 40 minut.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Zalecenia po badaniu:</w:t>
      </w:r>
    </w:p>
    <w:p w:rsidR="002113F9" w:rsidRPr="00553770" w:rsidRDefault="002113F9" w:rsidP="002113F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3770">
        <w:rPr>
          <w:rFonts w:ascii="Times New Roman" w:hAnsi="Times New Roman" w:cs="Times New Roman"/>
        </w:rPr>
        <w:t>Po badaniu</w:t>
      </w:r>
      <w:r w:rsidR="00566E1B">
        <w:rPr>
          <w:rFonts w:ascii="Times New Roman" w:hAnsi="Times New Roman" w:cs="Times New Roman"/>
        </w:rPr>
        <w:t>, do końca dnia,</w:t>
      </w:r>
      <w:r w:rsidRPr="00553770">
        <w:rPr>
          <w:rFonts w:ascii="Times New Roman" w:hAnsi="Times New Roman" w:cs="Times New Roman"/>
        </w:rPr>
        <w:t xml:space="preserve"> zaleca się picie większej niż zwykle ilości płynów oraz częste korzystanie z toalety w celu szybszego wydalenia radiofarmaceutyku.</w:t>
      </w:r>
    </w:p>
    <w:p w:rsidR="002113F9" w:rsidRPr="00553770" w:rsidRDefault="002113F9" w:rsidP="002113F9">
      <w:pPr>
        <w:pStyle w:val="Standard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553770">
        <w:rPr>
          <w:rFonts w:ascii="Times New Roman" w:hAnsi="Times New Roman" w:cs="Times New Roman"/>
        </w:rPr>
        <w:t xml:space="preserve">W związku ze stosowaniem izotopów promieniotwórczych </w:t>
      </w:r>
      <w:r w:rsidR="0093589D">
        <w:rPr>
          <w:rFonts w:ascii="Times New Roman" w:hAnsi="Times New Roman" w:cs="Times New Roman"/>
        </w:rPr>
        <w:t xml:space="preserve">w dniu badania </w:t>
      </w:r>
      <w:r w:rsidRPr="00553770">
        <w:rPr>
          <w:rFonts w:ascii="Times New Roman" w:hAnsi="Times New Roman" w:cs="Times New Roman"/>
        </w:rPr>
        <w:t>zaleca się unikanie kontaktów z kobietami w ciąży i</w:t>
      </w:r>
      <w:r w:rsidR="00C626CF">
        <w:rPr>
          <w:rFonts w:ascii="Times New Roman" w:hAnsi="Times New Roman" w:cs="Times New Roman"/>
        </w:rPr>
        <w:t xml:space="preserve"> małymi </w:t>
      </w:r>
      <w:r w:rsidRPr="00553770">
        <w:rPr>
          <w:rFonts w:ascii="Times New Roman" w:hAnsi="Times New Roman" w:cs="Times New Roman"/>
        </w:rPr>
        <w:t>dziećmi.</w:t>
      </w:r>
    </w:p>
    <w:p w:rsidR="002113F9" w:rsidRPr="00553770" w:rsidRDefault="002113F9" w:rsidP="002113F9">
      <w:pPr>
        <w:pStyle w:val="Standard"/>
        <w:jc w:val="both"/>
        <w:rPr>
          <w:rFonts w:ascii="Times New Roman" w:eastAsia="Times New Roman" w:hAnsi="Times New Roman" w:cs="Times New Roman"/>
        </w:rPr>
      </w:pPr>
    </w:p>
    <w:p w:rsidR="00A56DCE" w:rsidRPr="002113F9" w:rsidRDefault="002113F9" w:rsidP="002113F9">
      <w:pPr>
        <w:pStyle w:val="Standard"/>
        <w:jc w:val="both"/>
        <w:rPr>
          <w:rFonts w:ascii="Times New Roman" w:eastAsia="Times New Roman" w:hAnsi="Times New Roman" w:cs="Times New Roman"/>
          <w:b/>
        </w:rPr>
      </w:pPr>
      <w:r w:rsidRPr="00553770">
        <w:rPr>
          <w:rFonts w:ascii="Times New Roman" w:eastAsia="Times New Roman" w:hAnsi="Times New Roman" w:cs="Times New Roman"/>
          <w:b/>
        </w:rPr>
        <w:t>Łączny czas pobytu w Zakładzie wynosi ok. 3 godzin.</w:t>
      </w:r>
    </w:p>
    <w:sectPr w:rsidR="00A56DCE" w:rsidRPr="002113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273" w:rsidRDefault="007D0273" w:rsidP="00BB3FBD">
      <w:pPr>
        <w:spacing w:after="0" w:line="240" w:lineRule="auto"/>
      </w:pPr>
      <w:r>
        <w:separator/>
      </w:r>
    </w:p>
  </w:endnote>
  <w:endnote w:type="continuationSeparator" w:id="0">
    <w:p w:rsidR="007D0273" w:rsidRDefault="007D0273" w:rsidP="00BB3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273" w:rsidRDefault="007D0273" w:rsidP="00BB3FBD">
      <w:pPr>
        <w:spacing w:after="0" w:line="240" w:lineRule="auto"/>
      </w:pPr>
      <w:r>
        <w:separator/>
      </w:r>
    </w:p>
  </w:footnote>
  <w:footnote w:type="continuationSeparator" w:id="0">
    <w:p w:rsidR="007D0273" w:rsidRDefault="007D0273" w:rsidP="00BB3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160"/>
      <w:gridCol w:w="7021"/>
    </w:tblGrid>
    <w:tr w:rsidR="00BB3FBD" w:rsidRPr="00066AD9" w:rsidTr="00BB3FBD">
      <w:trPr>
        <w:cantSplit/>
        <w:trHeight w:val="508"/>
        <w:jc w:val="center"/>
      </w:trPr>
      <w:tc>
        <w:tcPr>
          <w:tcW w:w="2160" w:type="dxa"/>
          <w:vMerge w:val="restart"/>
          <w:vAlign w:val="center"/>
        </w:tcPr>
        <w:p w:rsidR="00BB3FBD" w:rsidRPr="00066AD9" w:rsidRDefault="00BB3FBD" w:rsidP="00BB3FBD">
          <w:pPr>
            <w:spacing w:after="120" w:line="240" w:lineRule="auto"/>
            <w:jc w:val="center"/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</w:pPr>
          <w:r w:rsidRPr="00066AD9">
            <w:rPr>
              <w:rFonts w:ascii="Times New Roman" w:eastAsia="Calibri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0D6D7ADE" wp14:editId="3C0F4F85">
                <wp:extent cx="1028700" cy="714375"/>
                <wp:effectExtent l="0" t="0" r="0" b="9525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BB3FBD" w:rsidRPr="00066AD9" w:rsidRDefault="00BB3FBD" w:rsidP="00BB3FBD">
          <w:pPr>
            <w:spacing w:after="120" w:line="240" w:lineRule="auto"/>
            <w:jc w:val="center"/>
            <w:rPr>
              <w:rFonts w:ascii="Arial" w:eastAsia="Calibri" w:hAnsi="Arial" w:cs="Arial"/>
              <w:b/>
              <w:color w:val="0000FF"/>
              <w:szCs w:val="20"/>
              <w:lang w:eastAsia="pl-PL"/>
            </w:rPr>
          </w:pPr>
          <w:r w:rsidRPr="00066AD9">
            <w:rPr>
              <w:rFonts w:ascii="Arial" w:eastAsia="Calibri" w:hAnsi="Arial" w:cs="Arial"/>
              <w:noProof/>
              <w:color w:val="1F497D"/>
              <w:sz w:val="16"/>
              <w:szCs w:val="16"/>
              <w:lang w:eastAsia="pl-PL"/>
            </w:rPr>
            <w:t>CSK UM w ŁODZI</w:t>
          </w:r>
        </w:p>
      </w:tc>
      <w:tc>
        <w:tcPr>
          <w:tcW w:w="7021" w:type="dxa"/>
          <w:vMerge w:val="restart"/>
          <w:vAlign w:val="center"/>
        </w:tcPr>
        <w:p w:rsidR="00BB3FBD" w:rsidRDefault="00BB3FBD" w:rsidP="00BB3F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Informacja dla pacjenta</w:t>
          </w:r>
        </w:p>
        <w:p w:rsidR="00BB3FBD" w:rsidRPr="00066AD9" w:rsidRDefault="00BB3FBD" w:rsidP="00BB3F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  <w:r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  <w:t>Zakład Medycyny Nuklearnej</w:t>
          </w:r>
        </w:p>
      </w:tc>
    </w:tr>
    <w:tr w:rsidR="00BB3FBD" w:rsidRPr="00066AD9" w:rsidTr="00BB3FBD">
      <w:trPr>
        <w:cantSplit/>
        <w:trHeight w:val="322"/>
        <w:jc w:val="center"/>
      </w:trPr>
      <w:tc>
        <w:tcPr>
          <w:tcW w:w="2160" w:type="dxa"/>
          <w:vMerge/>
        </w:tcPr>
        <w:p w:rsidR="00BB3FBD" w:rsidRPr="00066AD9" w:rsidRDefault="00BB3FBD" w:rsidP="00BB3F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BB3FBD" w:rsidRPr="00066AD9" w:rsidRDefault="00BB3FBD" w:rsidP="00BB3FBD">
          <w:pPr>
            <w:keepNext/>
            <w:spacing w:before="240" w:after="0" w:line="240" w:lineRule="auto"/>
            <w:jc w:val="center"/>
            <w:outlineLvl w:val="2"/>
            <w:rPr>
              <w:rFonts w:ascii="Arial" w:eastAsia="Calibri" w:hAnsi="Arial" w:cs="Arial"/>
              <w:smallCaps/>
              <w:color w:val="0000FF"/>
              <w:sz w:val="16"/>
              <w:szCs w:val="24"/>
              <w:lang w:eastAsia="pl-PL"/>
            </w:rPr>
          </w:pPr>
        </w:p>
      </w:tc>
    </w:tr>
    <w:tr w:rsidR="00BB3FBD" w:rsidRPr="00066AD9" w:rsidTr="00BB3FBD">
      <w:trPr>
        <w:cantSplit/>
        <w:trHeight w:val="350"/>
        <w:jc w:val="center"/>
      </w:trPr>
      <w:tc>
        <w:tcPr>
          <w:tcW w:w="2160" w:type="dxa"/>
          <w:vMerge/>
        </w:tcPr>
        <w:p w:rsidR="00BB3FBD" w:rsidRPr="00066AD9" w:rsidRDefault="00BB3FBD" w:rsidP="00BB3F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 w:val="restart"/>
        </w:tcPr>
        <w:p w:rsidR="00BB3FBD" w:rsidRDefault="00BB3FBD" w:rsidP="00BB3FBD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</w:p>
        <w:p w:rsidR="00BB3FBD" w:rsidRPr="00553770" w:rsidRDefault="00BB3FBD" w:rsidP="00BB3FBD">
          <w:pPr>
            <w:pStyle w:val="Standard"/>
            <w:jc w:val="center"/>
            <w:rPr>
              <w:rFonts w:ascii="Times New Roman" w:eastAsia="Times New Roman" w:hAnsi="Times New Roman" w:cs="Times New Roman"/>
              <w:b/>
              <w:sz w:val="28"/>
            </w:rPr>
          </w:pPr>
          <w:r w:rsidRPr="00553770">
            <w:rPr>
              <w:rFonts w:ascii="Times New Roman" w:eastAsia="Times New Roman" w:hAnsi="Times New Roman" w:cs="Times New Roman"/>
              <w:b/>
              <w:sz w:val="28"/>
            </w:rPr>
            <w:t>Scyntygrafia puli krwi w wątrobie</w:t>
          </w:r>
        </w:p>
        <w:p w:rsidR="00BB3FBD" w:rsidRPr="00066AD9" w:rsidRDefault="00BB3FBD" w:rsidP="00BB3FBD">
          <w:pPr>
            <w:spacing w:after="0" w:line="240" w:lineRule="auto"/>
            <w:jc w:val="center"/>
            <w:rPr>
              <w:rFonts w:ascii="Arial" w:eastAsia="Calibri" w:hAnsi="Arial" w:cs="Arial"/>
              <w:b/>
              <w:bCs/>
              <w:sz w:val="32"/>
              <w:szCs w:val="32"/>
              <w:lang w:eastAsia="pl-PL"/>
            </w:rPr>
          </w:pPr>
        </w:p>
      </w:tc>
    </w:tr>
    <w:tr w:rsidR="00BB3FBD" w:rsidRPr="00066AD9" w:rsidTr="00BB3FBD">
      <w:trPr>
        <w:cantSplit/>
        <w:trHeight w:val="456"/>
        <w:jc w:val="center"/>
      </w:trPr>
      <w:tc>
        <w:tcPr>
          <w:tcW w:w="2160" w:type="dxa"/>
          <w:vMerge/>
        </w:tcPr>
        <w:p w:rsidR="00BB3FBD" w:rsidRPr="00066AD9" w:rsidRDefault="00BB3FBD" w:rsidP="00BB3F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  <w:tc>
        <w:tcPr>
          <w:tcW w:w="7021" w:type="dxa"/>
          <w:vMerge/>
        </w:tcPr>
        <w:p w:rsidR="00BB3FBD" w:rsidRPr="00066AD9" w:rsidRDefault="00BB3FBD" w:rsidP="00BB3FBD">
          <w:pPr>
            <w:spacing w:after="0" w:line="240" w:lineRule="auto"/>
            <w:rPr>
              <w:rFonts w:ascii="Arial" w:eastAsia="Calibri" w:hAnsi="Arial" w:cs="Arial"/>
              <w:b/>
              <w:color w:val="0000FF"/>
              <w:sz w:val="28"/>
              <w:szCs w:val="24"/>
              <w:lang w:eastAsia="pl-PL"/>
            </w:rPr>
          </w:pPr>
        </w:p>
      </w:tc>
    </w:tr>
  </w:tbl>
  <w:p w:rsidR="00BB3FBD" w:rsidRDefault="00BB3FB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D6B"/>
    <w:multiLevelType w:val="hybridMultilevel"/>
    <w:tmpl w:val="2BDCF1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D6A5A"/>
    <w:multiLevelType w:val="multilevel"/>
    <w:tmpl w:val="AC92F1C6"/>
    <w:lvl w:ilvl="0">
      <w:numFmt w:val="bullet"/>
      <w:lvlText w:val="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714F4640"/>
    <w:multiLevelType w:val="hybridMultilevel"/>
    <w:tmpl w:val="6BEA57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2D0"/>
    <w:rsid w:val="002113F9"/>
    <w:rsid w:val="002968A9"/>
    <w:rsid w:val="004849D4"/>
    <w:rsid w:val="00566E1B"/>
    <w:rsid w:val="007D0273"/>
    <w:rsid w:val="0093589D"/>
    <w:rsid w:val="00A56DCE"/>
    <w:rsid w:val="00BB3FBD"/>
    <w:rsid w:val="00C626CF"/>
    <w:rsid w:val="00CC6C89"/>
    <w:rsid w:val="00CD0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A75FD"/>
  <w15:docId w15:val="{D8A9CF6A-4D74-41AC-86A9-505F1B9F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3F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113F9"/>
    <w:pPr>
      <w:suppressAutoHyphens/>
      <w:autoSpaceDN w:val="0"/>
      <w:spacing w:after="0" w:line="240" w:lineRule="auto"/>
      <w:textAlignment w:val="baseline"/>
    </w:pPr>
    <w:rPr>
      <w:rFonts w:ascii="Georgia" w:eastAsia="Georgia" w:hAnsi="Georgia" w:cs="Georgi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3FBD"/>
  </w:style>
  <w:style w:type="paragraph" w:styleId="Stopka">
    <w:name w:val="footer"/>
    <w:basedOn w:val="Normalny"/>
    <w:link w:val="StopkaZnak"/>
    <w:uiPriority w:val="99"/>
    <w:unhideWhenUsed/>
    <w:rsid w:val="00BB3F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3F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CSKIS-B1</Company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Kowalczyk</dc:creator>
  <cp:keywords/>
  <dc:description/>
  <cp:lastModifiedBy>Monika Żuraw</cp:lastModifiedBy>
  <cp:revision>3</cp:revision>
  <dcterms:created xsi:type="dcterms:W3CDTF">2022-01-31T10:11:00Z</dcterms:created>
  <dcterms:modified xsi:type="dcterms:W3CDTF">2022-02-03T07:50:00Z</dcterms:modified>
</cp:coreProperties>
</file>