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FB1CFF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E7788F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System pozaustrojowej wymiany gazowej ECMO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Pr="00FB1CFF" w:rsidRDefault="00A33D41" w:rsidP="00FB1C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843"/>
        <w:gridCol w:w="1327"/>
        <w:gridCol w:w="1347"/>
      </w:tblGrid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0" w:type="auto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940E4" w:rsidTr="00FB1CFF">
        <w:tc>
          <w:tcPr>
            <w:tcW w:w="0" w:type="auto"/>
            <w:vAlign w:val="center"/>
          </w:tcPr>
          <w:p w:rsidR="001940E4" w:rsidRPr="00E7788F" w:rsidRDefault="001940E4" w:rsidP="00E778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940E4" w:rsidRPr="00E7788F" w:rsidRDefault="001940E4" w:rsidP="00E7788F">
            <w:pPr>
              <w:rPr>
                <w:rFonts w:asciiTheme="minorHAnsi" w:hAnsiTheme="minorHAnsi" w:cstheme="minorHAnsi"/>
                <w:b/>
                <w:bCs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1940E4" w:rsidRPr="00E7788F" w:rsidRDefault="001940E4" w:rsidP="00E778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1940E4" w:rsidRPr="00E7788F" w:rsidRDefault="001940E4" w:rsidP="00E778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0" w:type="auto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0" w:type="auto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0" w:type="auto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0" w:type="auto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:rsidR="00960E2D" w:rsidRPr="00E7788F" w:rsidRDefault="00636E24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  <w:r w:rsidR="00960E2D" w:rsidRPr="00E7788F">
              <w:rPr>
                <w:rFonts w:asciiTheme="minorHAnsi" w:hAnsiTheme="minorHAnsi" w:cstheme="minorHAnsi"/>
              </w:rPr>
              <w:t xml:space="preserve"> lub równoważna</w:t>
            </w:r>
          </w:p>
        </w:tc>
        <w:tc>
          <w:tcPr>
            <w:tcW w:w="0" w:type="auto"/>
            <w:vAlign w:val="center"/>
          </w:tcPr>
          <w:p w:rsidR="00636E24" w:rsidRPr="00E7788F" w:rsidRDefault="00FB0BD2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vAlign w:val="bottom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636E24" w:rsidRPr="00E7788F" w:rsidRDefault="00FB0BD2" w:rsidP="00E7788F">
            <w:pPr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0" w:type="auto"/>
            <w:vAlign w:val="center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636E24" w:rsidRPr="00E7788F" w:rsidRDefault="00636E24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788F" w:rsidTr="00FB1CFF">
        <w:tc>
          <w:tcPr>
            <w:tcW w:w="0" w:type="auto"/>
            <w:vAlign w:val="center"/>
          </w:tcPr>
          <w:p w:rsidR="00E7788F" w:rsidRPr="00E7788F" w:rsidRDefault="00E7788F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E7788F" w:rsidRPr="00E7788F" w:rsidRDefault="00E7788F" w:rsidP="00E7788F">
            <w:pPr>
              <w:rPr>
                <w:rFonts w:asciiTheme="minorHAnsi" w:hAnsiTheme="minorHAnsi" w:cstheme="minorHAnsi"/>
                <w:b/>
                <w:bCs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Konsola główna/Jednostka Sterująca - 1 szt.</w:t>
            </w:r>
          </w:p>
        </w:tc>
        <w:tc>
          <w:tcPr>
            <w:tcW w:w="0" w:type="auto"/>
            <w:vAlign w:val="center"/>
          </w:tcPr>
          <w:p w:rsidR="00E7788F" w:rsidRPr="00E7788F" w:rsidRDefault="000A7ECB" w:rsidP="00E778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vAlign w:val="bottom"/>
          </w:tcPr>
          <w:p w:rsidR="00E7788F" w:rsidRPr="00E7788F" w:rsidRDefault="00E7788F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8E4B49"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Rok produkcji nie starszy niż 2016</w:t>
            </w:r>
          </w:p>
        </w:tc>
        <w:tc>
          <w:tcPr>
            <w:tcW w:w="0" w:type="auto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8E4B49"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Zasilanie 230 V/50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0" w:type="auto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8E4B49"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Zasilanie 12-28 Volt DC (2 m kabel przystosowany do zasilania w karetce)</w:t>
            </w:r>
          </w:p>
        </w:tc>
        <w:tc>
          <w:tcPr>
            <w:tcW w:w="0" w:type="auto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8E4B49"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0" w:type="auto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Urządzenie transportowe, przystosowane do transportu szpitalnego i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międzyszpitalnego</w:t>
            </w:r>
            <w:proofErr w:type="spellEnd"/>
          </w:p>
        </w:tc>
        <w:tc>
          <w:tcPr>
            <w:tcW w:w="0" w:type="auto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0A7ECB" w:rsidRDefault="000A7ECB">
      <w:r>
        <w:br w:type="page"/>
      </w:r>
    </w:p>
    <w:tbl>
      <w:tblPr>
        <w:tblStyle w:val="Tabela-Siatka"/>
        <w:tblW w:w="9076" w:type="dxa"/>
        <w:tblLayout w:type="fixed"/>
        <w:tblLook w:val="04A0" w:firstRow="1" w:lastRow="0" w:firstColumn="1" w:lastColumn="0" w:noHBand="0" w:noVBand="1"/>
      </w:tblPr>
      <w:tblGrid>
        <w:gridCol w:w="440"/>
        <w:gridCol w:w="5934"/>
        <w:gridCol w:w="1276"/>
        <w:gridCol w:w="1426"/>
      </w:tblGrid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5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Zasilanie awaryjne min. na 90 minut przy pełnym obciążeniu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Baterie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litowo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-jonowe (typ 2 x Li-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ion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Monitorowanie: czasu pracy baterii procentowym i  przybliżony pozostały czas pracy baterii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Alarmy kolorystyczne i alarmy akustyczne.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Automatyczne załączenie baterii, w przypadku braku zasilania sieciowego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Awaryjny napęd głowicy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26" w:type="dxa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Czujnik przepływu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mikrozatorów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oznaczeniem kierunku przepływu, (montowany na linii tętniczej)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Konsola pompy centryfugalnej z możliwością transportu, masa Max. 11,5 kg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  <w:vAlign w:val="bottom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Wyświetlacz LCD – ekran dotykowy, kolorowy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Format daty: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dd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/mm/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rrrr</w:t>
            </w:r>
            <w:proofErr w:type="spellEnd"/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Format czasu: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gg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/mm/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ss</w:t>
            </w:r>
            <w:proofErr w:type="spellEnd"/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Rozdzielczość min. 0,01 l/min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Wyświetlacz prędkości przepływów głowicy: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tryb RPM – obroty na minutę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tryb LPM -  litry na minutę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Zakres przepływu w zakresie min.: 0 l/min do 10 l/min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jc w:val="center"/>
              <w:rPr>
                <w:rFonts w:asciiTheme="minorHAnsi" w:hAnsiTheme="minorHAnsi" w:cstheme="minorHAnsi"/>
                <w:color w:val="010004"/>
                <w:w w:val="92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color w:val="010004"/>
                <w:w w:val="92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Zakres pomiaru ciśnienia: od -500 do 900 mmHg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Konsola wyposażona w system automatycznych, aktywnych interwencji urządzenia z możliwością ich aktywacji i dezaktywacji.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Prewencja przepływu zwrotnego: automatyczna aktywacja trybu przepływu zerowego (0 l/min)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Konsola pompy centryfugalnej umożliwiająca pomiar min. 4 ciśnień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Konsola pompy centryfugalnej umożliwiająca pomiar min. 4 temperatur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Żylna głowica pomiarowa (technologia: podczerwień, optyczna)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Monitoring poziomu min:</w:t>
            </w:r>
          </w:p>
          <w:p w:rsidR="009F6ACD" w:rsidRPr="00E7788F" w:rsidRDefault="009F6ACD" w:rsidP="00E778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hemoglobiny</w:t>
            </w:r>
          </w:p>
          <w:p w:rsidR="009F6ACD" w:rsidRPr="00E7788F" w:rsidRDefault="009F6ACD" w:rsidP="00E778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hematokrytu</w:t>
            </w:r>
          </w:p>
          <w:p w:rsidR="009F6ACD" w:rsidRPr="00E7788F" w:rsidRDefault="009F6ACD" w:rsidP="00E778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saturacji krwi żylnej</w:t>
            </w:r>
          </w:p>
          <w:p w:rsidR="009F6ACD" w:rsidRPr="00E7788F" w:rsidRDefault="009F6ACD" w:rsidP="00E778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temperatura żylna</w:t>
            </w:r>
          </w:p>
          <w:p w:rsidR="009F6ACD" w:rsidRPr="00E7788F" w:rsidRDefault="009F6ACD" w:rsidP="00E778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parametrów bezinwazyjny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19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Konsola pompy centryfugalnej z wyjściem USB do zbierania danych pacjenta podczas procedury ECMO.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Oprogramowanie i aplikacje w języku polskim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21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Aktualizacja systemu do najnowszych wersji oprogramowania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22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Dostępne aplikacje do różnych procedur min: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ECMO V-V (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żylno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żylne)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ECMO A-V (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żylno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tętnicze)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 jednostkach: OR, ICU, IMC, ER CATH LAB, HYBRID OR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7D6CD7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23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Podgrzewacz wodny z zestawem drenów Połączeniowych </w:t>
            </w:r>
            <w:proofErr w:type="spellStart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oksygenatora</w:t>
            </w:r>
            <w:proofErr w:type="spellEnd"/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ze złączkami typu: Hansen kątowe (90 stopni), przewody wodne 3m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24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Regulacja temperatury podgrzewacza w zakresie od 33 stopni Celsjusza do 39 stopni Celsjusza wyświetlaniem aktualnej temperatury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 chłodząca około 500 W max czas chłodzenia 5 – 10 min.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26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 grzewcza około 750 W max czas grzania 5 – 10 min.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27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Układ zabezpieczający przed przegrzaniem Powyżej 40 stopni Celsjusza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Konsola jezdna – 1 szt.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Konsola jezdna do transportu całego zestawu, wraz z półkami i masztem infuzyjnym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9F6ACD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Mieszacz gazów – 1 szt.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Mieszacz gazów tlen – powietrze  dwuzakresowy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Procentowe ustawienie mieszaniny gazów FiO2, zakres pomiarowy: 21 – 100%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Dwie skale przepływu mieszaniny gazów: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 100 ml/min do 1000 ml/min</w:t>
            </w:r>
          </w:p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 500 ml/min do 10000 ml/min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Węże przyłączeniowe, kompatybilne z posiadanym przez zamawiającego systemem do podłączenia gazów.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Uchwyt na butlę z tlenem kompatybilny z oferowanym urządzeniem.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</w:tcPr>
          <w:p w:rsidR="009F6ACD" w:rsidRPr="00E7788F" w:rsidRDefault="00E7788F" w:rsidP="00E778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Butla z tlenem, reduktor (zgodny z posiadanymi przez zamawiającego)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E778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  <w:vAlign w:val="center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34" w:type="dxa"/>
            <w:vAlign w:val="center"/>
          </w:tcPr>
          <w:p w:rsidR="009F6ACD" w:rsidRPr="00E7788F" w:rsidRDefault="009F6ACD" w:rsidP="00E7788F">
            <w:pPr>
              <w:rPr>
                <w:rFonts w:asciiTheme="minorHAnsi" w:hAnsiTheme="minorHAnsi" w:cstheme="minorHAnsi"/>
                <w:b/>
                <w:bCs/>
              </w:rPr>
            </w:pPr>
            <w:r w:rsidRPr="00E7788F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1276" w:type="dxa"/>
            <w:vAlign w:val="center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7788F">
              <w:rPr>
                <w:rFonts w:asciiTheme="minorHAnsi" w:hAnsiTheme="minorHAnsi" w:cstheme="minorHAnsi"/>
              </w:rPr>
              <w:t xml:space="preserve">Okres gwarancji w miesiącach (wymagany min. 24 m-ce) </w:t>
            </w:r>
            <w:r w:rsidRPr="00E7788F">
              <w:rPr>
                <w:rFonts w:asciiTheme="minorHAnsi" w:hAnsiTheme="minorHAnsi" w:cstheme="minorHAnsi"/>
                <w:color w:val="000000"/>
              </w:rPr>
              <w:br/>
              <w:t>Wyklucza się możliwość oferowania ubezpieczenia lub kontraktu serwisowego.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hAnsiTheme="minorHAnsi" w:cstheme="minorHAnsi"/>
              </w:rPr>
              <w:t>Czas podjęcia naprawy przez serwis max 48h od momentu zgłoszenia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hAnsiTheme="minorHAnsi" w:cstheme="minorHAnsi"/>
                <w:color w:val="00000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7788F">
              <w:rPr>
                <w:rFonts w:asciiTheme="minorHAnsi" w:hAnsiTheme="minorHAnsi" w:cstheme="minorHAnsi"/>
              </w:rPr>
              <w:t xml:space="preserve">Instrukcja w języku polskim, w formie wydrukowanej i wersji elektronicznej na płycie CD lub </w:t>
            </w:r>
            <w:proofErr w:type="spellStart"/>
            <w:r w:rsidRPr="00E7788F">
              <w:rPr>
                <w:rFonts w:asciiTheme="minorHAnsi" w:hAnsiTheme="minorHAnsi" w:cstheme="minorHAnsi"/>
              </w:rPr>
              <w:t>PenDrive</w:t>
            </w:r>
            <w:proofErr w:type="spellEnd"/>
            <w:r w:rsidRPr="00E7788F">
              <w:rPr>
                <w:rFonts w:asciiTheme="minorHAnsi" w:hAnsiTheme="minorHAnsi" w:cstheme="minorHAnsi"/>
              </w:rPr>
              <w:t>.</w:t>
            </w:r>
          </w:p>
          <w:p w:rsidR="009F6ACD" w:rsidRPr="00E7788F" w:rsidRDefault="009F6ACD" w:rsidP="00E77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7788F">
              <w:rPr>
                <w:rFonts w:asciiTheme="minorHAnsi" w:hAnsiTheme="minorHAnsi" w:cstheme="minorHAnsi"/>
                <w:i/>
                <w:iCs/>
              </w:rPr>
              <w:t>Dostarczyć wraz z dostawa przedmiotu zamówienia.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Bezpłatne przeglądy w okresie gwarancji.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7788F">
              <w:rPr>
                <w:rFonts w:asciiTheme="minorHAnsi" w:hAnsiTheme="minorHAnsi" w:cstheme="minorHAnsi"/>
                <w:color w:val="000000"/>
              </w:rPr>
              <w:t>Bezpłatne szkolenie personelu medycznego w zakresie obsługi aparatu przeprowadzone w siedzibie Zamawiającego.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7788F">
              <w:rPr>
                <w:rFonts w:asciiTheme="minorHAnsi" w:hAnsiTheme="minorHAnsi" w:cstheme="minorHAnsi"/>
              </w:rPr>
              <w:t>Liczba napraw uprawniających do wymiany urządzenia na nowe (3 naprawy)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RPr="00636E24" w:rsidTr="007D6CD7">
        <w:tc>
          <w:tcPr>
            <w:tcW w:w="440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934" w:type="dxa"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Serwis na terenie Polski</w:t>
            </w:r>
          </w:p>
        </w:tc>
        <w:tc>
          <w:tcPr>
            <w:tcW w:w="127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ACD" w:rsidTr="007D6CD7">
        <w:tc>
          <w:tcPr>
            <w:tcW w:w="440" w:type="dxa"/>
            <w:hideMark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934" w:type="dxa"/>
            <w:hideMark/>
          </w:tcPr>
          <w:p w:rsidR="009F6ACD" w:rsidRPr="00E7788F" w:rsidRDefault="009F6ACD" w:rsidP="00E7788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Paszport techniczny</w:t>
            </w:r>
          </w:p>
        </w:tc>
        <w:tc>
          <w:tcPr>
            <w:tcW w:w="1276" w:type="dxa"/>
            <w:hideMark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  <w:r w:rsidRPr="00E7788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26" w:type="dxa"/>
          </w:tcPr>
          <w:p w:rsidR="009F6ACD" w:rsidRPr="00E7788F" w:rsidRDefault="009F6ACD" w:rsidP="00E77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Default="00FB0BD2" w:rsidP="00774FD0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p w:rsidR="009F6ACD" w:rsidRDefault="009F6ACD" w:rsidP="00774FD0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9F6ACD" w:rsidRPr="00774FD0" w:rsidRDefault="009F6ACD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</w:p>
    <w:sectPr w:rsidR="009F6ACD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D2D"/>
    <w:multiLevelType w:val="multilevel"/>
    <w:tmpl w:val="0DF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83249"/>
    <w:multiLevelType w:val="multilevel"/>
    <w:tmpl w:val="C53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D1312"/>
    <w:multiLevelType w:val="multilevel"/>
    <w:tmpl w:val="97D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C6AB0"/>
    <w:multiLevelType w:val="multilevel"/>
    <w:tmpl w:val="5F4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3546D"/>
    <w:rsid w:val="0005512D"/>
    <w:rsid w:val="000849DC"/>
    <w:rsid w:val="000A7ECB"/>
    <w:rsid w:val="000E0814"/>
    <w:rsid w:val="00155C49"/>
    <w:rsid w:val="00161B92"/>
    <w:rsid w:val="001940E4"/>
    <w:rsid w:val="001D5427"/>
    <w:rsid w:val="00245BF9"/>
    <w:rsid w:val="00250989"/>
    <w:rsid w:val="002669CE"/>
    <w:rsid w:val="002816C7"/>
    <w:rsid w:val="002908CB"/>
    <w:rsid w:val="00295A5B"/>
    <w:rsid w:val="002A7485"/>
    <w:rsid w:val="00303567"/>
    <w:rsid w:val="003B3741"/>
    <w:rsid w:val="003C483F"/>
    <w:rsid w:val="003E0B8C"/>
    <w:rsid w:val="004438F6"/>
    <w:rsid w:val="00452D42"/>
    <w:rsid w:val="00472B0B"/>
    <w:rsid w:val="00480429"/>
    <w:rsid w:val="00492578"/>
    <w:rsid w:val="00511CD3"/>
    <w:rsid w:val="0053302D"/>
    <w:rsid w:val="00580AD6"/>
    <w:rsid w:val="00593759"/>
    <w:rsid w:val="005A2510"/>
    <w:rsid w:val="005E5162"/>
    <w:rsid w:val="005F48AE"/>
    <w:rsid w:val="00602420"/>
    <w:rsid w:val="00606AD5"/>
    <w:rsid w:val="006266FB"/>
    <w:rsid w:val="00636E24"/>
    <w:rsid w:val="006A5E36"/>
    <w:rsid w:val="00721A20"/>
    <w:rsid w:val="00726E19"/>
    <w:rsid w:val="007372E7"/>
    <w:rsid w:val="00763375"/>
    <w:rsid w:val="00767E52"/>
    <w:rsid w:val="00774FD0"/>
    <w:rsid w:val="007858E4"/>
    <w:rsid w:val="007D6CD7"/>
    <w:rsid w:val="007E4D3B"/>
    <w:rsid w:val="00814492"/>
    <w:rsid w:val="00857BA0"/>
    <w:rsid w:val="00877ED6"/>
    <w:rsid w:val="008F4227"/>
    <w:rsid w:val="0091541A"/>
    <w:rsid w:val="009450F4"/>
    <w:rsid w:val="00960E2D"/>
    <w:rsid w:val="009A5AC3"/>
    <w:rsid w:val="009B6DDC"/>
    <w:rsid w:val="009F1E62"/>
    <w:rsid w:val="009F6ACD"/>
    <w:rsid w:val="00A10E16"/>
    <w:rsid w:val="00A11606"/>
    <w:rsid w:val="00A21E52"/>
    <w:rsid w:val="00A33D41"/>
    <w:rsid w:val="00A57C3D"/>
    <w:rsid w:val="00A61540"/>
    <w:rsid w:val="00A65CCC"/>
    <w:rsid w:val="00AC64F1"/>
    <w:rsid w:val="00AE0129"/>
    <w:rsid w:val="00B0321A"/>
    <w:rsid w:val="00B26F13"/>
    <w:rsid w:val="00B865AE"/>
    <w:rsid w:val="00B93BEC"/>
    <w:rsid w:val="00B9622B"/>
    <w:rsid w:val="00BA3F96"/>
    <w:rsid w:val="00BF7621"/>
    <w:rsid w:val="00C468F5"/>
    <w:rsid w:val="00C54BEF"/>
    <w:rsid w:val="00C6237F"/>
    <w:rsid w:val="00C750FC"/>
    <w:rsid w:val="00CE3863"/>
    <w:rsid w:val="00CF7148"/>
    <w:rsid w:val="00D26671"/>
    <w:rsid w:val="00DC5366"/>
    <w:rsid w:val="00DC69D1"/>
    <w:rsid w:val="00E147A2"/>
    <w:rsid w:val="00E7004C"/>
    <w:rsid w:val="00E7788F"/>
    <w:rsid w:val="00E906C8"/>
    <w:rsid w:val="00EE6B6B"/>
    <w:rsid w:val="00F50C51"/>
    <w:rsid w:val="00F916B6"/>
    <w:rsid w:val="00FA2C01"/>
    <w:rsid w:val="00FB0BD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2FE6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8472-0C41-4C34-93E4-15B7847F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Piotr Woźniak</cp:lastModifiedBy>
  <cp:revision>8</cp:revision>
  <dcterms:created xsi:type="dcterms:W3CDTF">2020-01-15T08:18:00Z</dcterms:created>
  <dcterms:modified xsi:type="dcterms:W3CDTF">2020-01-15T08:30:00Z</dcterms:modified>
</cp:coreProperties>
</file>