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E0" w:rsidRPr="00D45A73" w:rsidRDefault="00BE6111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pl-PL"/>
        </w:rPr>
      </w:pPr>
      <w:r w:rsidRPr="00D45A73">
        <w:rPr>
          <w:rFonts w:ascii="Arial Narrow" w:eastAsia="Times New Roman" w:hAnsi="Arial Narrow" w:cs="Times New Roman"/>
          <w:b/>
          <w:lang w:eastAsia="pl-PL"/>
        </w:rPr>
        <w:t xml:space="preserve">Załącznik </w:t>
      </w:r>
      <w:r w:rsidR="008460D6" w:rsidRPr="00D45A73">
        <w:rPr>
          <w:rFonts w:ascii="Arial Narrow" w:eastAsia="Times New Roman" w:hAnsi="Arial Narrow" w:cs="Times New Roman"/>
          <w:b/>
          <w:lang w:eastAsia="pl-PL"/>
        </w:rPr>
        <w:t>N</w:t>
      </w:r>
      <w:r w:rsidRPr="00D45A73">
        <w:rPr>
          <w:rFonts w:ascii="Arial Narrow" w:eastAsia="Times New Roman" w:hAnsi="Arial Narrow" w:cs="Times New Roman"/>
          <w:b/>
          <w:lang w:eastAsia="pl-PL"/>
        </w:rPr>
        <w:t>r 3</w:t>
      </w:r>
    </w:p>
    <w:p w:rsidR="008B0052" w:rsidRPr="008460D6" w:rsidRDefault="008460D6" w:rsidP="00BE6111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u w:val="single"/>
          <w:lang w:eastAsia="zh-CN" w:bidi="hi-IN"/>
        </w:rPr>
      </w:pPr>
      <w:r w:rsidRPr="00D45A73">
        <w:rPr>
          <w:rFonts w:ascii="Arial Narrow" w:eastAsia="SimSun" w:hAnsi="Arial Narrow" w:cs="Times New Roman"/>
          <w:b/>
          <w:kern w:val="3"/>
          <w:lang w:eastAsia="zh-CN" w:bidi="hi-IN"/>
        </w:rPr>
        <w:t xml:space="preserve">Wymagania do </w:t>
      </w:r>
      <w:r w:rsidR="00BE6111" w:rsidRPr="00D45A73">
        <w:rPr>
          <w:rFonts w:ascii="Arial Narrow" w:eastAsia="SimSun" w:hAnsi="Arial Narrow" w:cs="Times New Roman"/>
          <w:b/>
          <w:kern w:val="3"/>
          <w:lang w:eastAsia="zh-CN" w:bidi="hi-IN"/>
        </w:rPr>
        <w:t>Pakiet</w:t>
      </w:r>
      <w:r w:rsidRPr="00D45A73">
        <w:rPr>
          <w:rFonts w:ascii="Arial Narrow" w:eastAsia="SimSun" w:hAnsi="Arial Narrow" w:cs="Times New Roman"/>
          <w:b/>
          <w:kern w:val="3"/>
          <w:lang w:eastAsia="zh-CN" w:bidi="hi-IN"/>
        </w:rPr>
        <w:t>u</w:t>
      </w:r>
      <w:r w:rsidR="00BE6111" w:rsidRPr="00D45A73">
        <w:rPr>
          <w:rFonts w:ascii="Arial Narrow" w:eastAsia="SimSun" w:hAnsi="Arial Narrow" w:cs="Times New Roman"/>
          <w:b/>
          <w:kern w:val="3"/>
          <w:lang w:eastAsia="zh-CN" w:bidi="hi-IN"/>
        </w:rPr>
        <w:t xml:space="preserve"> </w:t>
      </w:r>
      <w:r w:rsidRPr="00D45A73">
        <w:rPr>
          <w:rFonts w:ascii="Arial Narrow" w:eastAsia="SimSun" w:hAnsi="Arial Narrow" w:cs="Times New Roman"/>
          <w:b/>
          <w:kern w:val="3"/>
          <w:lang w:eastAsia="zh-CN" w:bidi="hi-IN"/>
        </w:rPr>
        <w:t>N</w:t>
      </w:r>
      <w:r w:rsidR="00BE6111" w:rsidRPr="00D45A73">
        <w:rPr>
          <w:rFonts w:ascii="Arial Narrow" w:eastAsia="SimSun" w:hAnsi="Arial Narrow" w:cs="Times New Roman"/>
          <w:b/>
          <w:kern w:val="3"/>
          <w:lang w:eastAsia="zh-CN" w:bidi="hi-IN"/>
        </w:rPr>
        <w:t>r 14</w:t>
      </w:r>
      <w:r w:rsidRPr="00D45A73">
        <w:rPr>
          <w:rFonts w:ascii="Arial Narrow" w:eastAsia="SimSun" w:hAnsi="Arial Narrow" w:cs="Times New Roman"/>
          <w:b/>
          <w:kern w:val="3"/>
          <w:lang w:eastAsia="zh-CN" w:bidi="hi-IN"/>
        </w:rPr>
        <w:t xml:space="preserve"> -</w:t>
      </w:r>
      <w:r w:rsidRPr="008460D6">
        <w:rPr>
          <w:rFonts w:ascii="Arial Narrow" w:eastAsia="SimSun" w:hAnsi="Arial Narrow" w:cs="Times New Roman"/>
          <w:b/>
          <w:kern w:val="3"/>
          <w:lang w:eastAsia="zh-CN" w:bidi="hi-IN"/>
        </w:rPr>
        <w:t xml:space="preserve"> </w:t>
      </w:r>
      <w:r w:rsidR="00BE6111" w:rsidRPr="008460D6">
        <w:rPr>
          <w:rFonts w:ascii="Arial Narrow" w:eastAsia="SimSun" w:hAnsi="Arial Narrow" w:cs="Times New Roman"/>
          <w:b/>
          <w:kern w:val="3"/>
          <w:lang w:eastAsia="zh-CN" w:bidi="hi-IN"/>
        </w:rPr>
        <w:t xml:space="preserve"> </w:t>
      </w:r>
      <w:r w:rsidR="008B0052" w:rsidRPr="008460D6">
        <w:rPr>
          <w:rFonts w:ascii="Arial Narrow" w:eastAsia="SimSun" w:hAnsi="Arial Narrow" w:cs="Times New Roman"/>
          <w:b/>
          <w:kern w:val="3"/>
          <w:u w:val="single"/>
          <w:lang w:eastAsia="zh-CN" w:bidi="hi-IN"/>
        </w:rPr>
        <w:t xml:space="preserve">Analizator parametrów krytycznych </w:t>
      </w:r>
      <w:r w:rsidR="005C7268" w:rsidRPr="008460D6">
        <w:rPr>
          <w:rFonts w:ascii="Arial Narrow" w:eastAsia="SimSun" w:hAnsi="Arial Narrow" w:cs="Times New Roman"/>
          <w:b/>
          <w:kern w:val="3"/>
          <w:u w:val="single"/>
          <w:lang w:eastAsia="zh-CN" w:bidi="hi-IN"/>
        </w:rPr>
        <w:t xml:space="preserve">– 1szt </w:t>
      </w:r>
      <w:r w:rsidR="008B0052" w:rsidRPr="008460D6">
        <w:rPr>
          <w:rFonts w:ascii="Arial Narrow" w:eastAsia="SimSun" w:hAnsi="Arial Narrow" w:cs="Times New Roman"/>
          <w:b/>
          <w:kern w:val="3"/>
          <w:u w:val="single"/>
          <w:lang w:eastAsia="zh-CN" w:bidi="hi-IN"/>
        </w:rPr>
        <w:t xml:space="preserve">dla </w:t>
      </w:r>
      <w:r w:rsidR="00427283" w:rsidRPr="008460D6">
        <w:rPr>
          <w:rFonts w:ascii="Arial Narrow" w:eastAsia="SimSun" w:hAnsi="Arial Narrow" w:cs="Times New Roman"/>
          <w:b/>
          <w:kern w:val="3"/>
          <w:u w:val="single"/>
          <w:lang w:eastAsia="zh-CN" w:bidi="hi-IN"/>
        </w:rPr>
        <w:t xml:space="preserve">Blok Operacyjny Sala </w:t>
      </w:r>
      <w:proofErr w:type="spellStart"/>
      <w:r w:rsidR="00427283" w:rsidRPr="008460D6">
        <w:rPr>
          <w:rFonts w:ascii="Arial Narrow" w:eastAsia="SimSun" w:hAnsi="Arial Narrow" w:cs="Times New Roman"/>
          <w:b/>
          <w:kern w:val="3"/>
          <w:u w:val="single"/>
          <w:lang w:eastAsia="zh-CN" w:bidi="hi-IN"/>
        </w:rPr>
        <w:t>Wybudzeń</w:t>
      </w:r>
      <w:proofErr w:type="spellEnd"/>
      <w:r w:rsidR="008B0052" w:rsidRPr="008460D6">
        <w:rPr>
          <w:rFonts w:ascii="Arial Narrow" w:eastAsia="SimSun" w:hAnsi="Arial Narrow" w:cs="Times New Roman"/>
          <w:b/>
          <w:kern w:val="3"/>
          <w:u w:val="single"/>
          <w:lang w:eastAsia="zh-CN" w:bidi="hi-IN"/>
        </w:rPr>
        <w:t>- CKD CSK UM  w Łodzi</w:t>
      </w:r>
    </w:p>
    <w:p w:rsidR="00257BE0" w:rsidRPr="001E7057" w:rsidRDefault="00257BE0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W w:w="9428" w:type="dxa"/>
        <w:tblInd w:w="-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2"/>
        <w:gridCol w:w="5320"/>
        <w:gridCol w:w="67"/>
        <w:gridCol w:w="2485"/>
        <w:gridCol w:w="917"/>
        <w:gridCol w:w="7"/>
      </w:tblGrid>
      <w:tr w:rsidR="00DD4ACE" w:rsidRPr="001E7057" w:rsidTr="003A4ADF">
        <w:trPr>
          <w:trHeight w:val="334"/>
        </w:trPr>
        <w:tc>
          <w:tcPr>
            <w:tcW w:w="94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b/>
                <w:kern w:val="3"/>
                <w:lang w:bidi="hi-IN"/>
              </w:rPr>
              <w:t>Wymagane parametry graniczne</w:t>
            </w:r>
          </w:p>
        </w:tc>
      </w:tr>
      <w:tr w:rsidR="00DD4ACE" w:rsidRPr="001E7057" w:rsidTr="001E7057">
        <w:trPr>
          <w:trHeight w:val="334"/>
        </w:trPr>
        <w:tc>
          <w:tcPr>
            <w:tcW w:w="5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b/>
                <w:kern w:val="3"/>
                <w:lang w:bidi="hi-I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b/>
                <w:kern w:val="3"/>
                <w:lang w:bidi="hi-IN"/>
              </w:rPr>
              <w:t>TAK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b/>
                <w:kern w:val="3"/>
                <w:lang w:bidi="hi-IN"/>
              </w:rPr>
              <w:t>NIE</w:t>
            </w:r>
          </w:p>
        </w:tc>
      </w:tr>
      <w:tr w:rsidR="00DD4ACE" w:rsidRPr="001E7057" w:rsidTr="001E7057">
        <w:trPr>
          <w:trHeight w:val="355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kern w:val="3"/>
                <w:lang w:bidi="hi-IN"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1E7057" w:rsidP="003A6D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kern w:val="3"/>
                <w:lang w:eastAsia="pl-PL"/>
              </w:rPr>
              <w:t>Analizator</w:t>
            </w:r>
            <w:r w:rsidR="00DD4ACE" w:rsidRPr="001E7057">
              <w:rPr>
                <w:rFonts w:ascii="Arial Narrow" w:eastAsia="Times New Roman" w:hAnsi="Arial Narrow" w:cs="Arial"/>
                <w:kern w:val="3"/>
                <w:lang w:eastAsia="pl-PL"/>
              </w:rPr>
              <w:t xml:space="preserve"> fabrycznie now</w:t>
            </w:r>
            <w:r w:rsidR="003A6DF5">
              <w:rPr>
                <w:rFonts w:ascii="Arial Narrow" w:eastAsia="Times New Roman" w:hAnsi="Arial Narrow" w:cs="Arial"/>
                <w:kern w:val="3"/>
                <w:lang w:eastAsia="pl-PL"/>
              </w:rPr>
              <w:t>y</w:t>
            </w:r>
            <w:r w:rsidR="00DD4ACE" w:rsidRPr="001E7057">
              <w:rPr>
                <w:rFonts w:ascii="Arial Narrow" w:eastAsia="Times New Roman" w:hAnsi="Arial Narrow" w:cs="Arial"/>
                <w:kern w:val="3"/>
                <w:lang w:eastAsia="pl-PL"/>
              </w:rPr>
              <w:t>, nie starsz</w:t>
            </w:r>
            <w:r w:rsidR="003A6DF5">
              <w:rPr>
                <w:rFonts w:ascii="Arial Narrow" w:eastAsia="Times New Roman" w:hAnsi="Arial Narrow" w:cs="Arial"/>
                <w:kern w:val="3"/>
                <w:lang w:eastAsia="pl-PL"/>
              </w:rPr>
              <w:t>y</w:t>
            </w:r>
            <w:r w:rsidR="00DD4ACE" w:rsidRPr="001E7057">
              <w:rPr>
                <w:rFonts w:ascii="Arial Narrow" w:eastAsia="Times New Roman" w:hAnsi="Arial Narrow" w:cs="Arial"/>
                <w:kern w:val="3"/>
                <w:lang w:eastAsia="pl-PL"/>
              </w:rPr>
              <w:t xml:space="preserve"> niż rok produkcji 2020.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2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 xml:space="preserve">Automatyczny analizator parametrów krytycznych pracujący w systemie ciągłym, umożliwiający jednoczesną analizę poniższych parametrów krytycznych wraz z możliwością dopasowania do indywidualnych potrzeb: </w:t>
            </w:r>
          </w:p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D45A73">
              <w:rPr>
                <w:rFonts w:ascii="Arial Narrow" w:eastAsia="Times New Roman" w:hAnsi="Arial Narrow" w:cs="Arial"/>
                <w:lang w:eastAsia="pl-PL"/>
              </w:rPr>
              <w:t>pH</w:t>
            </w:r>
            <w:proofErr w:type="spellEnd"/>
            <w:r w:rsidRPr="00D45A73">
              <w:rPr>
                <w:rFonts w:ascii="Arial Narrow" w:eastAsia="Times New Roman" w:hAnsi="Arial Narrow" w:cs="Arial"/>
                <w:lang w:eastAsia="pl-PL"/>
              </w:rPr>
              <w:t>, pCO</w:t>
            </w:r>
            <w:r w:rsidRPr="00D45A7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 w:rsidRPr="00D45A73">
              <w:rPr>
                <w:rFonts w:ascii="Arial Narrow" w:eastAsia="Times New Roman" w:hAnsi="Arial Narrow" w:cs="Arial"/>
                <w:lang w:eastAsia="pl-PL"/>
              </w:rPr>
              <w:t>, pO</w:t>
            </w:r>
            <w:r w:rsidRPr="00D45A7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 w:rsidRPr="00D45A73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proofErr w:type="spellStart"/>
            <w:r w:rsidRPr="00D45A73">
              <w:rPr>
                <w:rFonts w:ascii="Arial Narrow" w:eastAsia="Times New Roman" w:hAnsi="Arial Narrow" w:cs="Arial"/>
                <w:lang w:eastAsia="pl-PL"/>
              </w:rPr>
              <w:t>Hb</w:t>
            </w:r>
            <w:proofErr w:type="spellEnd"/>
            <w:r w:rsidRPr="001E7057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1E7057">
              <w:rPr>
                <w:rFonts w:ascii="Arial Narrow" w:eastAsia="Times New Roman" w:hAnsi="Arial Narrow" w:cs="Arial"/>
                <w:lang w:eastAsia="pl-PL"/>
              </w:rPr>
              <w:t>całk</w:t>
            </w:r>
            <w:proofErr w:type="spellEnd"/>
            <w:r w:rsidRPr="001E7057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proofErr w:type="spellStart"/>
            <w:r w:rsidRPr="001E7057">
              <w:rPr>
                <w:rFonts w:ascii="Arial Narrow" w:eastAsia="Times New Roman" w:hAnsi="Arial Narrow" w:cs="Arial"/>
                <w:lang w:eastAsia="pl-PL"/>
              </w:rPr>
              <w:t>MetHb</w:t>
            </w:r>
            <w:proofErr w:type="spellEnd"/>
            <w:r w:rsidRPr="001E7057">
              <w:rPr>
                <w:rFonts w:ascii="Arial Narrow" w:eastAsia="Times New Roman" w:hAnsi="Arial Narrow" w:cs="Arial"/>
                <w:lang w:eastAsia="pl-PL"/>
              </w:rPr>
              <w:t>, O</w:t>
            </w:r>
            <w:r w:rsidRPr="007D103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 w:rsidRPr="001E7057">
              <w:rPr>
                <w:rFonts w:ascii="Arial Narrow" w:eastAsia="Times New Roman" w:hAnsi="Arial Narrow" w:cs="Arial"/>
                <w:lang w:eastAsia="pl-PL"/>
              </w:rPr>
              <w:t xml:space="preserve">Hb, </w:t>
            </w:r>
            <w:proofErr w:type="spellStart"/>
            <w:r w:rsidRPr="001E7057">
              <w:rPr>
                <w:rFonts w:ascii="Arial Narrow" w:eastAsia="Times New Roman" w:hAnsi="Arial Narrow" w:cs="Arial"/>
                <w:lang w:eastAsia="pl-PL"/>
              </w:rPr>
              <w:t>HHb</w:t>
            </w:r>
            <w:proofErr w:type="spellEnd"/>
            <w:r w:rsidRPr="001E7057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proofErr w:type="spellStart"/>
            <w:r w:rsidRPr="001E7057">
              <w:rPr>
                <w:rFonts w:ascii="Arial Narrow" w:eastAsia="Times New Roman" w:hAnsi="Arial Narrow" w:cs="Arial"/>
                <w:lang w:eastAsia="pl-PL"/>
              </w:rPr>
              <w:t>COHb</w:t>
            </w:r>
            <w:proofErr w:type="spellEnd"/>
            <w:r w:rsidRPr="001E7057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proofErr w:type="spellStart"/>
            <w:r w:rsidRPr="001E7057">
              <w:rPr>
                <w:rFonts w:ascii="Arial Narrow" w:eastAsia="Times New Roman" w:hAnsi="Arial Narrow" w:cs="Arial"/>
                <w:lang w:eastAsia="pl-PL"/>
              </w:rPr>
              <w:t>FHbF</w:t>
            </w:r>
            <w:proofErr w:type="spellEnd"/>
            <w:r w:rsidRPr="001E7057">
              <w:rPr>
                <w:rFonts w:ascii="Arial Narrow" w:eastAsia="Times New Roman" w:hAnsi="Arial Narrow" w:cs="Arial"/>
                <w:lang w:eastAsia="pl-PL"/>
              </w:rPr>
              <w:t>, sO</w:t>
            </w:r>
            <w:r w:rsidRPr="007D103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 w:rsidRPr="001E7057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proofErr w:type="spellStart"/>
            <w:r w:rsidRPr="001E7057">
              <w:rPr>
                <w:rFonts w:ascii="Arial Narrow" w:eastAsia="Times New Roman" w:hAnsi="Arial Narrow" w:cs="Arial"/>
                <w:lang w:eastAsia="pl-PL"/>
              </w:rPr>
              <w:t>cNa</w:t>
            </w:r>
            <w:proofErr w:type="spellEnd"/>
            <w:r w:rsidRPr="007D1038">
              <w:rPr>
                <w:rFonts w:ascii="Arial Narrow" w:eastAsia="Times New Roman" w:hAnsi="Arial Narrow" w:cs="Arial"/>
                <w:vertAlign w:val="superscript"/>
                <w:lang w:eastAsia="pl-PL"/>
              </w:rPr>
              <w:t>+</w:t>
            </w:r>
            <w:r w:rsidRPr="001E7057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proofErr w:type="spellStart"/>
            <w:r w:rsidRPr="001E7057">
              <w:rPr>
                <w:rFonts w:ascii="Arial Narrow" w:eastAsia="Times New Roman" w:hAnsi="Arial Narrow" w:cs="Arial"/>
                <w:lang w:eastAsia="pl-PL"/>
              </w:rPr>
              <w:t>cK</w:t>
            </w:r>
            <w:proofErr w:type="spellEnd"/>
            <w:r w:rsidRPr="007D1038">
              <w:rPr>
                <w:rFonts w:ascii="Arial Narrow" w:eastAsia="Times New Roman" w:hAnsi="Arial Narrow" w:cs="Arial"/>
                <w:vertAlign w:val="superscript"/>
                <w:lang w:eastAsia="pl-PL"/>
              </w:rPr>
              <w:t>+</w:t>
            </w:r>
            <w:r w:rsidRPr="001E7057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proofErr w:type="spellStart"/>
            <w:r w:rsidRPr="001E7057">
              <w:rPr>
                <w:rFonts w:ascii="Arial Narrow" w:eastAsia="Times New Roman" w:hAnsi="Arial Narrow" w:cs="Arial"/>
                <w:lang w:eastAsia="pl-PL"/>
              </w:rPr>
              <w:t>cCa</w:t>
            </w:r>
            <w:proofErr w:type="spellEnd"/>
            <w:r w:rsidRPr="007D1038">
              <w:rPr>
                <w:rFonts w:ascii="Arial Narrow" w:eastAsia="Times New Roman" w:hAnsi="Arial Narrow" w:cs="Arial"/>
                <w:vertAlign w:val="superscript"/>
                <w:lang w:eastAsia="pl-PL"/>
              </w:rPr>
              <w:t>++</w:t>
            </w:r>
            <w:r w:rsidRPr="001E7057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proofErr w:type="spellStart"/>
            <w:r w:rsidRPr="001E7057">
              <w:rPr>
                <w:rFonts w:ascii="Arial Narrow" w:eastAsia="Times New Roman" w:hAnsi="Arial Narrow" w:cs="Arial"/>
                <w:lang w:eastAsia="pl-PL"/>
              </w:rPr>
              <w:t>cCl</w:t>
            </w:r>
            <w:proofErr w:type="spellEnd"/>
            <w:r w:rsidRPr="007D1038">
              <w:rPr>
                <w:rFonts w:ascii="Arial Narrow" w:eastAsia="Times New Roman" w:hAnsi="Arial Narrow" w:cs="Arial"/>
                <w:vertAlign w:val="superscript"/>
                <w:lang w:eastAsia="pl-PL"/>
              </w:rPr>
              <w:t>-</w:t>
            </w:r>
            <w:r w:rsidRPr="001E7057">
              <w:rPr>
                <w:rFonts w:ascii="Arial Narrow" w:eastAsia="Times New Roman" w:hAnsi="Arial Narrow" w:cs="Arial"/>
                <w:lang w:eastAsia="pl-PL"/>
              </w:rPr>
              <w:t>, glukoza, mleczan</w:t>
            </w:r>
            <w:r w:rsidR="00B93C7E">
              <w:rPr>
                <w:rFonts w:ascii="Arial Narrow" w:eastAsia="Times New Roman" w:hAnsi="Arial Narrow" w:cs="Arial"/>
                <w:lang w:eastAsia="pl-PL"/>
              </w:rPr>
              <w:t>y, bilirubina całkowita.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3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kern w:val="3"/>
                <w:lang w:eastAsia="pl-PL"/>
              </w:rPr>
              <w:t>Analizator z możliwością rozszerzenia panelu oznaczeń o pomiar kreatyniny i mocznika.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4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Analizator wyposażony w czytnik kodów kreskowych.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5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Automatyczne mieszanie próbki badanej przed pobraniem – wbudowany mieszalnik próbek.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6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 xml:space="preserve">Zakres pomiarowy dla wapnia zjonizowanego od 0,1 </w:t>
            </w:r>
            <w:proofErr w:type="spellStart"/>
            <w:r w:rsidRPr="001E7057">
              <w:rPr>
                <w:rFonts w:ascii="Arial Narrow" w:eastAsia="Times New Roman" w:hAnsi="Arial Narrow" w:cs="Arial"/>
                <w:lang w:eastAsia="pl-PL"/>
              </w:rPr>
              <w:t>mmol</w:t>
            </w:r>
            <w:proofErr w:type="spellEnd"/>
            <w:r w:rsidRPr="001E7057">
              <w:rPr>
                <w:rFonts w:ascii="Arial Narrow" w:eastAsia="Times New Roman" w:hAnsi="Arial Narrow" w:cs="Arial"/>
                <w:lang w:eastAsia="pl-PL"/>
              </w:rPr>
              <w:t xml:space="preserve">/l do 9,9 </w:t>
            </w:r>
            <w:proofErr w:type="spellStart"/>
            <w:r w:rsidRPr="001E7057">
              <w:rPr>
                <w:rFonts w:ascii="Arial Narrow" w:eastAsia="Times New Roman" w:hAnsi="Arial Narrow" w:cs="Arial"/>
                <w:lang w:eastAsia="pl-PL"/>
              </w:rPr>
              <w:t>mmol</w:t>
            </w:r>
            <w:proofErr w:type="spellEnd"/>
            <w:r w:rsidRPr="001E7057">
              <w:rPr>
                <w:rFonts w:ascii="Arial Narrow" w:eastAsia="Times New Roman" w:hAnsi="Arial Narrow" w:cs="Arial"/>
                <w:lang w:eastAsia="pl-PL"/>
              </w:rPr>
              <w:t>/l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7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System pracujący w oparciu o wymienne kasety zawierające sensory oraz kasety zawierające odczynniki, kalibratory umożliwiające wielokrotne pomiary.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System kaset dający możliwość doboru wielkości kasety w zależności od natężenia wykonywanych oznaczeń.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Trwałość kaset od momentu zainstalowania w aparacie min 30 dni.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10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Możliwość ponownej instalacji tego samego pakietu odczynnikowego i kasety sensorowej bez utraty pozostałych testów.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11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Odczynniki zintegrowane z pojemnikiem ściekowym.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rPr>
          <w:trHeight w:val="36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12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Możliwość wyłączania aparatu bez utraty testów w kasecie sensorowej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rPr>
          <w:trHeight w:val="322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kern w:val="3"/>
                <w:lang w:bidi="hi-IN"/>
              </w:rPr>
              <w:t>13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8460D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45A73">
              <w:rPr>
                <w:rFonts w:ascii="Arial Narrow" w:eastAsia="Times New Roman" w:hAnsi="Arial Narrow" w:cs="Arial"/>
                <w:lang w:eastAsia="pl-PL"/>
              </w:rPr>
              <w:t>Możliwość aspiracji badanej próbki: z kapilary, ze strzykawki</w:t>
            </w:r>
            <w:r w:rsidR="008460D6" w:rsidRPr="00D45A73">
              <w:rPr>
                <w:rFonts w:ascii="Arial Narrow" w:eastAsia="Times New Roman" w:hAnsi="Arial Narrow" w:cs="Arial"/>
                <w:lang w:eastAsia="pl-PL"/>
              </w:rPr>
              <w:t>,</w:t>
            </w:r>
            <w:r w:rsidRPr="00D45A73">
              <w:rPr>
                <w:rFonts w:ascii="Arial Narrow" w:eastAsia="Times New Roman" w:hAnsi="Arial Narrow" w:cs="Arial"/>
                <w:lang w:eastAsia="pl-PL"/>
              </w:rPr>
              <w:t xml:space="preserve"> z probówki</w:t>
            </w:r>
            <w:r w:rsidR="008460D6" w:rsidRPr="00D45A73">
              <w:rPr>
                <w:rFonts w:ascii="Arial Narrow" w:eastAsia="Times New Roman" w:hAnsi="Arial Narrow" w:cs="Arial"/>
                <w:lang w:eastAsia="pl-PL"/>
              </w:rPr>
              <w:t xml:space="preserve"> lub z ampułki.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rPr>
          <w:trHeight w:val="573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14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Możliwość wykonania pełnego panelu oznaczeń zarówno z kapilary jak i strzykawki (gazometria, oksymetria, metabolity, elektrolity) z próbki o objętości nie większej niż 70</w:t>
            </w:r>
            <w:r w:rsidR="00BE6111" w:rsidRPr="001E7057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1E7057">
              <w:rPr>
                <w:rFonts w:ascii="Arial Narrow" w:eastAsia="Times New Roman" w:hAnsi="Arial Narrow" w:cs="Arial"/>
                <w:lang w:eastAsia="pl-PL"/>
              </w:rPr>
              <w:t>μl</w:t>
            </w:r>
            <w:proofErr w:type="spellEnd"/>
            <w:r w:rsidRPr="001E7057">
              <w:rPr>
                <w:rFonts w:ascii="Arial Narrow" w:eastAsia="Times New Roman" w:hAnsi="Arial Narrow" w:cs="Arial"/>
                <w:lang w:eastAsia="pl-PL"/>
              </w:rPr>
              <w:t xml:space="preserve"> dla pełnego panelu.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15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Czas do uzyskania wyniku nie dłuższy niż 40 sek.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16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Korekcja temperaturowa parametrów mierzonych i wyliczanych.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17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Pomiar wszystkich parametrów z krwi pacjenta oraz materiału kontrolnego w jednym torze pomiarowym z użyciem jednej elektrody referencyjnej.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Termin ważności kaset minimum 3 miesiące od daty dostarczenia do Zamawiającego.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Automatyczna kalibracja jedno i dwupunktowa bez konieczności ingerencji użytkownika.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kern w:val="3"/>
                <w:lang w:bidi="hi-IN"/>
              </w:rPr>
              <w:t>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Brak konieczności kalibracji po każdym oznaczeniu.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lastRenderedPageBreak/>
              <w:t>21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Maksymalny czas dobowych kalibracji i kontroli jakości nie dłuższy niż 30 min.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kern w:val="3"/>
                <w:lang w:bidi="hi-IN"/>
              </w:rPr>
              <w:t>22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Brak konieczności wykonywania dodatkowych manualnych czynności przy instalacji pakietów / kaset testowych i odczynnikowych, automatyczna inicjalizacja kaset bez konieczności walidacji zewnętrznymi roztworami.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rPr>
          <w:trHeight w:val="961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3A6DF5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3A6DF5">
              <w:rPr>
                <w:rFonts w:ascii="Arial Narrow" w:eastAsia="SimSun" w:hAnsi="Arial Narrow" w:cs="Arial"/>
                <w:kern w:val="3"/>
                <w:lang w:bidi="hi-IN"/>
              </w:rPr>
              <w:t>23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3A6DF5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3A6DF5">
              <w:rPr>
                <w:rFonts w:ascii="Arial Narrow" w:eastAsia="SimSun" w:hAnsi="Arial Narrow" w:cs="Arial"/>
                <w:kern w:val="3"/>
                <w:lang w:bidi="hi-IN"/>
              </w:rPr>
              <w:t>Wbudowany system oceny kontroli jakości: automatyczna, wewnętrzna kontrola jakości z osobnych, niezależnych płynów kontrolnych na trzech poziomach wykonywana codziennie, wbudowana w pakiet odczynnikowy.</w:t>
            </w:r>
          </w:p>
          <w:p w:rsidR="00DD4ACE" w:rsidRPr="003A6DF5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DD4ACE" w:rsidRPr="001E7057" w:rsidTr="001E7057">
        <w:trPr>
          <w:trHeight w:val="42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kern w:val="3"/>
                <w:lang w:bidi="hi-IN"/>
              </w:rPr>
              <w:t>24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Oprogramowanie analizatora w języku polskim.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ACE" w:rsidRPr="001E7057" w:rsidRDefault="00DD4ACE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3A6DF5" w:rsidRPr="001E7057" w:rsidTr="001E7057">
        <w:trPr>
          <w:trHeight w:val="42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kern w:val="3"/>
                <w:lang w:bidi="hi-IN"/>
              </w:rPr>
              <w:t>25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E5460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Szkolenie personelu w zakresie obsługi analizatora i interpretacji wyników wraz z opieką merytoryczną w czasie trwania umowy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3A6DF5" w:rsidRPr="001E7057" w:rsidTr="001E7057">
        <w:trPr>
          <w:trHeight w:val="42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kern w:val="3"/>
                <w:lang w:bidi="hi-IN"/>
              </w:rPr>
              <w:t>26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Wszystkie parametry i wartości podane w tabeli Oferenta musza być poparte załączoną do oferty instrukcją obsługi oferowanego analizatora w języku polskim. Dopuszcza się możliwość dołączenia do oferty instrukcji w formie elektronicznej.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3A6DF5" w:rsidRPr="001E7057" w:rsidTr="001E7057">
        <w:trPr>
          <w:trHeight w:val="42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27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E5460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Firma dostarcza zaświadczenia, certyfikaty ISO, lub inny wydany przez jednostkę certyfikującą, CE, karty charakterystyk odczynników i inne dotyczące oferty po rozstrzygnięciu postępowania, przy pierwszej dostawie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3A6DF5" w:rsidRPr="001E7057" w:rsidTr="001E7057">
        <w:trPr>
          <w:trHeight w:val="38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28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FE5460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Analizatory i odczynniki muszą spełniać wymogi produktów dopuszczonych do obrotu w krajach UE-CE</w:t>
            </w: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3A6DF5" w:rsidRPr="001E7057" w:rsidTr="001E7057">
        <w:trPr>
          <w:trHeight w:val="42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29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Analizator wyposażony w zewnętrzny system podtrzymywania (UPS o mocy stosownej do oferowanego analizatora)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3A6DF5" w:rsidRPr="001E7057" w:rsidTr="001E7057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highlight w:val="magenta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30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Analizator umożliwiający dwukierunkową transmisję danych (złącze do komunikacji z systemem do zdalnego nadzorowania, monitoringu, autoryzacji i przesyłania wyników badań z analizatorów POCT).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3A6DF5" w:rsidRPr="001E7057" w:rsidTr="001E7057">
        <w:trPr>
          <w:trHeight w:val="44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31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Gwarancja na analizator przez okres trwania dzierżawy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3A6DF5" w:rsidRPr="001E7057" w:rsidTr="001E7057">
        <w:trPr>
          <w:trHeight w:val="48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32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Wszelkie naprawy, przeglądy, konserwacje analizatorów będą na koszt Wykonawcy umowy w okresie obowiązywania umowy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3A6DF5" w:rsidRPr="001E7057" w:rsidTr="001E7057">
        <w:trPr>
          <w:trHeight w:val="404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1E7057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33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Times New Roman"/>
                <w:lang w:eastAsia="pl-PL"/>
              </w:rPr>
              <w:t>Zapewnienie możliwości całodobowego przyjmowania zgłoszeń o awarii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3A6DF5" w:rsidRPr="001E7057" w:rsidTr="001E7057">
        <w:trPr>
          <w:trHeight w:val="434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kern w:val="3"/>
                <w:lang w:eastAsia="pl-PL"/>
              </w:rPr>
              <w:t>34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Czas reakcji serwisu do 24 h od momentu zgłoszenia usterki.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3A6DF5" w:rsidRPr="001E7057" w:rsidTr="001E7057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kern w:val="3"/>
                <w:lang w:eastAsia="pl-PL"/>
              </w:rPr>
              <w:t>35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Całkowite usunięcie uszkodzenia do 24 godzin od zgłoszenia awarii, w przypadku dłuższej awarii konieczność dostarczenia analizatora zastępczego.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3A6DF5" w:rsidRPr="001E7057" w:rsidTr="001E7057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kern w:val="3"/>
                <w:lang w:eastAsia="pl-PL"/>
              </w:rPr>
              <w:t>36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Times New Roman"/>
                <w:lang w:eastAsia="pl-PL"/>
              </w:rPr>
              <w:t>W przypadku trzykrotnej awarii tego samego zespołu /podzespołu/ systemu w okresie obowiązywania umowy – wymiana systemu na nowy o tych samych parametrach na koszt Wykonawcy umowy.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3A6DF5" w:rsidRPr="001E7057" w:rsidTr="003A4ADF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kern w:val="3"/>
                <w:lang w:eastAsia="pl-PL"/>
              </w:rPr>
              <w:t>37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highlight w:val="magenta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 xml:space="preserve">Wymagany jest nadzór autorski z możliwością zdalnej diagnostyki systemu, pracy </w:t>
            </w:r>
            <w:r w:rsidRPr="003A6DF5">
              <w:rPr>
                <w:rFonts w:ascii="Arial Narrow" w:eastAsia="Times New Roman" w:hAnsi="Arial Narrow" w:cs="Arial"/>
                <w:lang w:eastAsia="pl-PL"/>
              </w:rPr>
              <w:t xml:space="preserve">analizatorów i serwisu oprogramowania dla analizatorów z zapewnieniem wytycznych zawartych w rozporządzeniu dotyczącym ochrony danych </w:t>
            </w:r>
            <w:r w:rsidRPr="003A6DF5">
              <w:rPr>
                <w:rFonts w:ascii="Arial Narrow" w:eastAsia="Times New Roman" w:hAnsi="Arial Narrow" w:cs="Arial"/>
                <w:lang w:eastAsia="pl-PL"/>
              </w:rPr>
              <w:lastRenderedPageBreak/>
              <w:t>osobowych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</w:p>
        </w:tc>
      </w:tr>
      <w:tr w:rsidR="003A6DF5" w:rsidRPr="001E7057" w:rsidTr="003A4ADF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lang w:eastAsia="pl-PL"/>
              </w:rPr>
              <w:t>38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1E7057">
              <w:rPr>
                <w:rFonts w:ascii="Arial Narrow" w:eastAsia="SimSun" w:hAnsi="Arial Narrow" w:cs="Arial"/>
                <w:lang w:eastAsia="zh-CN" w:bidi="hi-IN"/>
              </w:rPr>
              <w:t xml:space="preserve">Zapewnienie uczestnictwa w kontroli </w:t>
            </w:r>
            <w:proofErr w:type="spellStart"/>
            <w:r w:rsidRPr="001E7057">
              <w:rPr>
                <w:rFonts w:ascii="Arial Narrow" w:eastAsia="SimSun" w:hAnsi="Arial Narrow" w:cs="Arial"/>
                <w:lang w:eastAsia="zh-CN" w:bidi="hi-IN"/>
              </w:rPr>
              <w:t>zewnatrzlaboratoryjnej</w:t>
            </w:r>
            <w:proofErr w:type="spellEnd"/>
            <w:r w:rsidRPr="001E7057">
              <w:rPr>
                <w:rFonts w:ascii="Arial Narrow" w:eastAsia="SimSun" w:hAnsi="Arial Narrow" w:cs="Arial"/>
                <w:lang w:eastAsia="zh-CN" w:bidi="hi-IN"/>
              </w:rPr>
              <w:t>/międzynarodowej wszystkich parametrów na koszt Wykonawcy (</w:t>
            </w:r>
            <w:proofErr w:type="spellStart"/>
            <w:r w:rsidRPr="001E7057">
              <w:rPr>
                <w:rFonts w:ascii="Arial Narrow" w:eastAsia="SimSun" w:hAnsi="Arial Narrow" w:cs="Arial"/>
                <w:lang w:eastAsia="zh-CN" w:bidi="hi-IN"/>
              </w:rPr>
              <w:t>Labquality</w:t>
            </w:r>
            <w:proofErr w:type="spellEnd"/>
            <w:r w:rsidRPr="001E7057">
              <w:rPr>
                <w:rFonts w:ascii="Arial Narrow" w:eastAsia="SimSun" w:hAnsi="Arial Narrow" w:cs="Arial"/>
                <w:lang w:eastAsia="zh-CN" w:bidi="hi-IN"/>
              </w:rPr>
              <w:t>) 2 razy w roku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</w:p>
        </w:tc>
      </w:tr>
      <w:tr w:rsidR="00604AFC" w:rsidRPr="001E7057" w:rsidTr="003A4ADF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AFC" w:rsidRDefault="00604AFC" w:rsidP="003A6DF5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  <w:r w:rsidRPr="0009123D">
              <w:rPr>
                <w:rFonts w:ascii="Arial Narrow" w:eastAsia="Times New Roman" w:hAnsi="Arial Narrow" w:cs="Arial"/>
                <w:kern w:val="3"/>
                <w:lang w:eastAsia="pl-PL"/>
              </w:rPr>
              <w:t>39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AFC" w:rsidRPr="001E7057" w:rsidRDefault="0009123D" w:rsidP="003A6DF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E7057">
              <w:rPr>
                <w:rFonts w:ascii="Arial Narrow" w:eastAsia="Times New Roman" w:hAnsi="Arial Narrow" w:cs="Arial"/>
                <w:lang w:eastAsia="pl-PL"/>
              </w:rPr>
              <w:t>Analizator na podstawie jezdnej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604AFC">
              <w:rPr>
                <w:rFonts w:ascii="Arial Narrow" w:eastAsia="Times New Roman" w:hAnsi="Arial Narrow" w:cs="Arial"/>
                <w:lang w:eastAsia="pl-PL"/>
              </w:rPr>
              <w:t>Witryna chłodnicza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AFC" w:rsidRPr="001E7057" w:rsidRDefault="00604AFC" w:rsidP="003A6DF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AFC" w:rsidRPr="001E7057" w:rsidRDefault="00604AFC" w:rsidP="003A6DF5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</w:p>
        </w:tc>
      </w:tr>
      <w:tr w:rsidR="003A6DF5" w:rsidRPr="001E7057" w:rsidTr="003A4ADF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D45A73" w:rsidRDefault="00604AFC" w:rsidP="003A6DF5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  <w:r w:rsidRPr="00D45A73">
              <w:rPr>
                <w:rFonts w:ascii="Arial Narrow" w:eastAsia="Times New Roman" w:hAnsi="Arial Narrow" w:cs="Arial"/>
                <w:kern w:val="3"/>
                <w:lang w:eastAsia="pl-PL"/>
              </w:rPr>
              <w:t>40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23D" w:rsidRPr="00D45A73" w:rsidRDefault="0009123D" w:rsidP="00D45A73">
            <w:pPr>
              <w:spacing w:before="100" w:beforeAutospacing="1" w:after="100" w:afterAutospacing="1" w:line="240" w:lineRule="auto"/>
            </w:pPr>
            <w:r w:rsidRPr="00D45A73">
              <w:rPr>
                <w:rFonts w:ascii="Arial Narrow" w:eastAsia="Times New Roman" w:hAnsi="Arial Narrow" w:cs="Arial"/>
                <w:lang w:eastAsia="pl-PL"/>
              </w:rPr>
              <w:t>Witryna chłodnicza</w:t>
            </w:r>
            <w:r w:rsidR="00D45A73">
              <w:rPr>
                <w:rFonts w:ascii="Arial Narrow" w:eastAsia="Times New Roman" w:hAnsi="Arial Narrow" w:cs="Arial"/>
                <w:lang w:eastAsia="pl-PL"/>
              </w:rPr>
              <w:t xml:space="preserve"> nie gorsza niż </w:t>
            </w:r>
            <w:r w:rsidRPr="00D45A73">
              <w:t xml:space="preserve"> MPM 290-VT-01</w:t>
            </w:r>
          </w:p>
          <w:tbl>
            <w:tblPr>
              <w:tblW w:w="0" w:type="auto"/>
              <w:tblCellSpacing w:w="15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1898"/>
            </w:tblGrid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u w:val="single"/>
                      <w:lang w:eastAsia="pl-PL"/>
                    </w:rPr>
                    <w:t>Wymiary (</w:t>
                  </w:r>
                  <w:proofErr w:type="spellStart"/>
                  <w:r w:rsidRPr="00D45A73">
                    <w:rPr>
                      <w:rFonts w:eastAsia="Times New Roman" w:cs="Times New Roman"/>
                      <w:sz w:val="16"/>
                      <w:szCs w:val="16"/>
                      <w:u w:val="single"/>
                      <w:lang w:eastAsia="pl-PL"/>
                    </w:rPr>
                    <w:t>wys.x</w:t>
                  </w:r>
                  <w:proofErr w:type="spellEnd"/>
                  <w:r w:rsidRPr="00D45A73">
                    <w:rPr>
                      <w:rFonts w:eastAsia="Times New Roman" w:cs="Times New Roman"/>
                      <w:sz w:val="16"/>
                      <w:szCs w:val="16"/>
                      <w:u w:val="single"/>
                      <w:lang w:eastAsia="pl-PL"/>
                    </w:rPr>
                    <w:t xml:space="preserve"> </w:t>
                  </w:r>
                  <w:proofErr w:type="spellStart"/>
                  <w:r w:rsidRPr="00D45A73">
                    <w:rPr>
                      <w:rFonts w:eastAsia="Times New Roman" w:cs="Times New Roman"/>
                      <w:sz w:val="16"/>
                      <w:szCs w:val="16"/>
                      <w:u w:val="single"/>
                      <w:lang w:eastAsia="pl-PL"/>
                    </w:rPr>
                    <w:t>szer.x</w:t>
                  </w:r>
                  <w:proofErr w:type="spellEnd"/>
                  <w:r w:rsidRPr="00D45A73">
                    <w:rPr>
                      <w:rFonts w:eastAsia="Times New Roman" w:cs="Times New Roman"/>
                      <w:sz w:val="16"/>
                      <w:szCs w:val="16"/>
                      <w:u w:val="single"/>
                      <w:lang w:eastAsia="pl-PL"/>
                    </w:rPr>
                    <w:t xml:space="preserve"> gł.)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145 x 60 x 60 cm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Kolor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biały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Moc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70 W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Czynnik chłodniczy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R134a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u w:val="single"/>
                      <w:lang w:eastAsia="pl-PL"/>
                    </w:rPr>
                    <w:t xml:space="preserve">Zakres temperatur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od 0 do +10 stopni C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Sterowanie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mechaniczne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Sposób </w:t>
                  </w:r>
                  <w:proofErr w:type="spellStart"/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odszraniania</w:t>
                  </w:r>
                  <w:proofErr w:type="spellEnd"/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 (rozmrażania) chłodziarki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automatyczny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Liczba komór chłodniczych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1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Liczba drzwi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1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Wykonanie drzwi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szklane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Rodzaj zamknięcia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nie dotyczy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Zmiana kierunku otwierania drzwi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tak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Efektywność energetyczna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Klasa energetyczna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A+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u w:val="single"/>
                      <w:lang w:eastAsia="pl-PL"/>
                    </w:rPr>
                    <w:t xml:space="preserve">Roczne zużycie prądu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748 kWh = 456,28 zł rocznie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u w:val="single"/>
                      <w:lang w:eastAsia="pl-PL"/>
                    </w:rPr>
                    <w:t xml:space="preserve">Pojemność komory chłodniczej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290 litrów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u w:val="single"/>
                      <w:lang w:eastAsia="pl-PL"/>
                    </w:rPr>
                    <w:t xml:space="preserve">Klasa klimatyczna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4 (30°C-55%)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Poziom hałasu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69 </w:t>
                  </w:r>
                  <w:proofErr w:type="spellStart"/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dB</w:t>
                  </w:r>
                  <w:proofErr w:type="spellEnd"/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Powierzchnia chłodzona półek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275 litrów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Parametry zewnętrzne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Wymiary opakowania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68 x 66 x 153 cm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Waga z opakowaniem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73 kg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Wyposażenie  </w:t>
                  </w: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6 półek drucianych 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3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09123D" w:rsidRPr="00D45A73" w:rsidTr="00E010CC">
              <w:trPr>
                <w:tblCellSpacing w:w="15" w:type="dxa"/>
              </w:trPr>
              <w:tc>
                <w:tcPr>
                  <w:tcW w:w="3069" w:type="dxa"/>
                  <w:vAlign w:val="center"/>
                  <w:hideMark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 xml:space="preserve">Gwarancja  </w:t>
                  </w:r>
                </w:p>
              </w:tc>
              <w:tc>
                <w:tcPr>
                  <w:tcW w:w="1853" w:type="dxa"/>
                  <w:vAlign w:val="center"/>
                </w:tcPr>
                <w:p w:rsidR="0009123D" w:rsidRPr="00D45A73" w:rsidRDefault="0009123D" w:rsidP="0009123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</w:pPr>
                  <w:r w:rsidRPr="00D45A73">
                    <w:rPr>
                      <w:rFonts w:eastAsia="Times New Roman" w:cs="Times New Roman"/>
                      <w:sz w:val="16"/>
                      <w:szCs w:val="16"/>
                      <w:lang w:eastAsia="pl-PL"/>
                    </w:rPr>
                    <w:t>24 miesiące</w:t>
                  </w:r>
                </w:p>
              </w:tc>
            </w:tr>
          </w:tbl>
          <w:p w:rsidR="0009123D" w:rsidRPr="00D45A73" w:rsidRDefault="0009123D" w:rsidP="003A6DF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DF5" w:rsidRPr="001E7057" w:rsidRDefault="003A6DF5" w:rsidP="003A6DF5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</w:p>
        </w:tc>
      </w:tr>
    </w:tbl>
    <w:p w:rsidR="00693F3F" w:rsidRDefault="00693F3F" w:rsidP="00693F3F">
      <w:pPr>
        <w:rPr>
          <w:rFonts w:ascii="Tahoma" w:hAnsi="Tahoma" w:cs="Tahoma"/>
          <w:b/>
        </w:rPr>
      </w:pPr>
    </w:p>
    <w:p w:rsidR="00693F3F" w:rsidRPr="005C7C88" w:rsidRDefault="00693F3F" w:rsidP="00693F3F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693F3F" w:rsidRPr="005C7C88" w:rsidRDefault="00693F3F" w:rsidP="00693F3F">
      <w:pPr>
        <w:pStyle w:val="Standard"/>
        <w:rPr>
          <w:rFonts w:ascii="Arial" w:hAnsi="Arial"/>
          <w:sz w:val="20"/>
          <w:szCs w:val="20"/>
        </w:rPr>
      </w:pPr>
    </w:p>
    <w:p w:rsidR="00693F3F" w:rsidRPr="005C7C88" w:rsidRDefault="00693F3F" w:rsidP="00693F3F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693F3F" w:rsidRPr="00A71E90" w:rsidRDefault="00693F3F" w:rsidP="00693F3F"/>
    <w:p w:rsidR="00693F3F" w:rsidRPr="0014688E" w:rsidRDefault="00693F3F" w:rsidP="00693F3F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693F3F" w:rsidRDefault="00693F3F" w:rsidP="00693F3F">
      <w:pPr>
        <w:rPr>
          <w:rFonts w:ascii="Tahoma" w:hAnsi="Tahoma" w:cs="Tahoma"/>
          <w:b/>
        </w:rPr>
      </w:pPr>
    </w:p>
    <w:p w:rsidR="00C309AB" w:rsidRDefault="00C309AB" w:rsidP="00C309AB">
      <w:pPr>
        <w:rPr>
          <w:rFonts w:ascii="Tahoma" w:hAnsi="Tahoma" w:cs="Tahoma"/>
          <w:b/>
        </w:rPr>
      </w:pPr>
      <w:bookmarkStart w:id="0" w:name="_GoBack"/>
      <w:bookmarkEnd w:id="0"/>
    </w:p>
    <w:p w:rsidR="00C309AB" w:rsidRPr="00E87E6B" w:rsidRDefault="00C309AB" w:rsidP="00C309AB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C309AB" w:rsidRPr="00E87E6B" w:rsidRDefault="00C309AB" w:rsidP="00C309AB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C309AB" w:rsidRPr="00E87E6B" w:rsidRDefault="00C309AB" w:rsidP="00C309AB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…………………………………………………………..</w:t>
      </w:r>
    </w:p>
    <w:p w:rsidR="00C309AB" w:rsidRPr="00E87E6B" w:rsidRDefault="00C309AB" w:rsidP="00C309AB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kwalifikowany podpis elektroniczny przedstawiciela</w:t>
      </w:r>
    </w:p>
    <w:p w:rsidR="00C309AB" w:rsidRDefault="00C309AB" w:rsidP="00C309AB"/>
    <w:p w:rsidR="00DD4ACE" w:rsidRPr="001E7057" w:rsidRDefault="00DD4ACE" w:rsidP="003A6DF5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pl-PL"/>
        </w:rPr>
      </w:pPr>
    </w:p>
    <w:sectPr w:rsidR="00DD4ACE" w:rsidRPr="001E70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B0" w:rsidRDefault="00720AB0" w:rsidP="00257BE0">
      <w:pPr>
        <w:spacing w:after="0" w:line="240" w:lineRule="auto"/>
      </w:pPr>
      <w:r>
        <w:separator/>
      </w:r>
    </w:p>
  </w:endnote>
  <w:endnote w:type="continuationSeparator" w:id="0">
    <w:p w:rsidR="00720AB0" w:rsidRDefault="00720AB0" w:rsidP="0025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B0" w:rsidRDefault="00720AB0" w:rsidP="00257BE0">
      <w:pPr>
        <w:spacing w:after="0" w:line="240" w:lineRule="auto"/>
      </w:pPr>
      <w:r>
        <w:separator/>
      </w:r>
    </w:p>
  </w:footnote>
  <w:footnote w:type="continuationSeparator" w:id="0">
    <w:p w:rsidR="00720AB0" w:rsidRDefault="00720AB0" w:rsidP="0025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AB" w:rsidRPr="008716D0" w:rsidRDefault="00C309AB" w:rsidP="00C309AB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:rsidR="00C309AB" w:rsidRPr="008716D0" w:rsidRDefault="00C309AB" w:rsidP="00C309AB">
    <w:pPr>
      <w:rPr>
        <w:rFonts w:ascii="Tahoma" w:hAnsi="Tahoma" w:cs="Tahoma"/>
        <w:b/>
        <w:bCs/>
      </w:rPr>
    </w:pPr>
    <w:r w:rsidRPr="008716D0">
      <w:rPr>
        <w:rFonts w:ascii="Tahoma" w:hAnsi="Tahoma" w:cs="Tahoma"/>
        <w:b/>
        <w:bCs/>
      </w:rPr>
      <w:t>Sprawa nr  ZP /</w:t>
    </w:r>
    <w:r>
      <w:rPr>
        <w:rFonts w:ascii="Tahoma" w:hAnsi="Tahoma" w:cs="Tahoma"/>
        <w:b/>
        <w:bCs/>
      </w:rPr>
      <w:t>84</w:t>
    </w:r>
    <w:r w:rsidRPr="008716D0">
      <w:rPr>
        <w:rFonts w:ascii="Tahoma" w:hAnsi="Tahoma" w:cs="Tahoma"/>
        <w:b/>
        <w:bCs/>
      </w:rPr>
      <w:t xml:space="preserve">/ </w:t>
    </w:r>
    <w:r>
      <w:rPr>
        <w:rFonts w:ascii="Tahoma" w:hAnsi="Tahoma" w:cs="Tahoma"/>
        <w:b/>
        <w:bCs/>
      </w:rPr>
      <w:t>2020</w:t>
    </w:r>
  </w:p>
  <w:p w:rsidR="00C309AB" w:rsidRPr="00C309AB" w:rsidRDefault="00C309AB" w:rsidP="00C309AB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technicznych i wymogów granicznych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3A9B"/>
    <w:multiLevelType w:val="hybridMultilevel"/>
    <w:tmpl w:val="FC00527E"/>
    <w:lvl w:ilvl="0" w:tplc="EABCF30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57"/>
    <w:rsid w:val="00006B3E"/>
    <w:rsid w:val="00053815"/>
    <w:rsid w:val="0009123D"/>
    <w:rsid w:val="00160C66"/>
    <w:rsid w:val="001C47CC"/>
    <w:rsid w:val="001E7057"/>
    <w:rsid w:val="0022611F"/>
    <w:rsid w:val="00226245"/>
    <w:rsid w:val="00235FA7"/>
    <w:rsid w:val="00241445"/>
    <w:rsid w:val="00257BE0"/>
    <w:rsid w:val="002660DA"/>
    <w:rsid w:val="0029797A"/>
    <w:rsid w:val="003326B8"/>
    <w:rsid w:val="00361B1B"/>
    <w:rsid w:val="003A4ADF"/>
    <w:rsid w:val="003A6DF5"/>
    <w:rsid w:val="003B6935"/>
    <w:rsid w:val="00427283"/>
    <w:rsid w:val="0043745F"/>
    <w:rsid w:val="004B5899"/>
    <w:rsid w:val="004D50ED"/>
    <w:rsid w:val="004F7DCD"/>
    <w:rsid w:val="0053173C"/>
    <w:rsid w:val="005A6C50"/>
    <w:rsid w:val="005C7268"/>
    <w:rsid w:val="00604AFC"/>
    <w:rsid w:val="00615E1E"/>
    <w:rsid w:val="006179A7"/>
    <w:rsid w:val="006361A9"/>
    <w:rsid w:val="00643B57"/>
    <w:rsid w:val="00650B02"/>
    <w:rsid w:val="00693F3F"/>
    <w:rsid w:val="00710D93"/>
    <w:rsid w:val="00720AB0"/>
    <w:rsid w:val="00722E26"/>
    <w:rsid w:val="00763C03"/>
    <w:rsid w:val="007D1038"/>
    <w:rsid w:val="007E2925"/>
    <w:rsid w:val="00830FE5"/>
    <w:rsid w:val="008460D6"/>
    <w:rsid w:val="008B0052"/>
    <w:rsid w:val="008C6CBC"/>
    <w:rsid w:val="008C7F54"/>
    <w:rsid w:val="008F08BC"/>
    <w:rsid w:val="009529DA"/>
    <w:rsid w:val="00986321"/>
    <w:rsid w:val="009A1492"/>
    <w:rsid w:val="00A7260D"/>
    <w:rsid w:val="00AA5D0E"/>
    <w:rsid w:val="00AB2BC3"/>
    <w:rsid w:val="00AD14A0"/>
    <w:rsid w:val="00B3068F"/>
    <w:rsid w:val="00B720E6"/>
    <w:rsid w:val="00B75DD7"/>
    <w:rsid w:val="00B93C7E"/>
    <w:rsid w:val="00BE6111"/>
    <w:rsid w:val="00C309AB"/>
    <w:rsid w:val="00C456F5"/>
    <w:rsid w:val="00CB50B4"/>
    <w:rsid w:val="00CD0E24"/>
    <w:rsid w:val="00D23F7A"/>
    <w:rsid w:val="00D3677B"/>
    <w:rsid w:val="00D45A73"/>
    <w:rsid w:val="00D5149E"/>
    <w:rsid w:val="00D74550"/>
    <w:rsid w:val="00D74ECF"/>
    <w:rsid w:val="00DA49D7"/>
    <w:rsid w:val="00DB5030"/>
    <w:rsid w:val="00DD4ACE"/>
    <w:rsid w:val="00DF5D33"/>
    <w:rsid w:val="00E00556"/>
    <w:rsid w:val="00EC0296"/>
    <w:rsid w:val="00F67BAF"/>
    <w:rsid w:val="00FA327C"/>
    <w:rsid w:val="00FB5A78"/>
    <w:rsid w:val="00FC6C1A"/>
    <w:rsid w:val="00FD5729"/>
    <w:rsid w:val="00FE4169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286F0-D41B-41ED-AD3A-0E717288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E0"/>
  </w:style>
  <w:style w:type="paragraph" w:styleId="Stopka">
    <w:name w:val="footer"/>
    <w:basedOn w:val="Normalny"/>
    <w:link w:val="StopkaZnak"/>
    <w:uiPriority w:val="99"/>
    <w:unhideWhenUsed/>
    <w:rsid w:val="002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E0"/>
  </w:style>
  <w:style w:type="paragraph" w:styleId="Akapitzlist">
    <w:name w:val="List Paragraph"/>
    <w:basedOn w:val="Normalny"/>
    <w:uiPriority w:val="34"/>
    <w:qFormat/>
    <w:rsid w:val="00257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B1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93F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82FE-F2F2-4B6C-A9B3-4FC7F22C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908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Andrzejczak</cp:lastModifiedBy>
  <cp:revision>17</cp:revision>
  <cp:lastPrinted>2020-08-25T10:25:00Z</cp:lastPrinted>
  <dcterms:created xsi:type="dcterms:W3CDTF">2020-08-25T14:32:00Z</dcterms:created>
  <dcterms:modified xsi:type="dcterms:W3CDTF">2020-12-29T13:52:00Z</dcterms:modified>
</cp:coreProperties>
</file>