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19" w:rsidRPr="002579BE" w:rsidRDefault="005A39AD">
      <w:pPr>
        <w:rPr>
          <w:rFonts w:ascii="Arial" w:hAnsi="Arial" w:cs="Arial"/>
          <w:b/>
          <w:sz w:val="24"/>
          <w:szCs w:val="24"/>
          <w:u w:val="single"/>
        </w:rPr>
      </w:pPr>
      <w:r w:rsidRPr="002579BE">
        <w:rPr>
          <w:rFonts w:ascii="Arial" w:hAnsi="Arial" w:cs="Arial"/>
          <w:b/>
          <w:sz w:val="24"/>
          <w:szCs w:val="24"/>
          <w:u w:val="single"/>
        </w:rPr>
        <w:t xml:space="preserve">Załącznik </w:t>
      </w:r>
      <w:r w:rsidR="002579BE" w:rsidRPr="002579BE">
        <w:rPr>
          <w:rFonts w:ascii="Arial" w:hAnsi="Arial" w:cs="Arial"/>
          <w:b/>
          <w:sz w:val="24"/>
          <w:szCs w:val="24"/>
          <w:u w:val="single"/>
        </w:rPr>
        <w:t>Nr 3</w:t>
      </w:r>
      <w:r w:rsidRPr="002579BE">
        <w:rPr>
          <w:rFonts w:ascii="Arial" w:hAnsi="Arial" w:cs="Arial"/>
          <w:b/>
          <w:sz w:val="24"/>
          <w:szCs w:val="24"/>
          <w:u w:val="single"/>
        </w:rPr>
        <w:t xml:space="preserve"> do pakietu Nr </w:t>
      </w:r>
      <w:r w:rsidR="00AD2F3B" w:rsidRPr="002579BE">
        <w:rPr>
          <w:rFonts w:ascii="Arial" w:hAnsi="Arial" w:cs="Arial"/>
          <w:b/>
          <w:sz w:val="24"/>
          <w:szCs w:val="24"/>
          <w:u w:val="single"/>
        </w:rPr>
        <w:t>27</w:t>
      </w:r>
      <w:r w:rsidRPr="002579B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A39AD" w:rsidRDefault="005A39AD" w:rsidP="005A39AD">
      <w:pPr>
        <w:rPr>
          <w:rFonts w:ascii="Arial" w:hAnsi="Arial" w:cs="Arial"/>
          <w:b/>
          <w:sz w:val="20"/>
          <w:szCs w:val="20"/>
        </w:rPr>
      </w:pPr>
      <w:r w:rsidRPr="0054658A">
        <w:rPr>
          <w:rFonts w:ascii="Arial" w:hAnsi="Arial" w:cs="Arial"/>
          <w:b/>
          <w:sz w:val="20"/>
          <w:szCs w:val="20"/>
        </w:rPr>
        <w:t xml:space="preserve">Zestaw testów, kalibratorów i materiałów dodatkowych wraz z oprogramowaniem i oprzyrządowaniem do wykonania </w:t>
      </w:r>
      <w:proofErr w:type="spellStart"/>
      <w:r w:rsidRPr="0054658A">
        <w:rPr>
          <w:rFonts w:ascii="Arial" w:hAnsi="Arial" w:cs="Arial"/>
          <w:b/>
          <w:sz w:val="20"/>
          <w:szCs w:val="20"/>
        </w:rPr>
        <w:t>genotypowania</w:t>
      </w:r>
      <w:proofErr w:type="spellEnd"/>
      <w:r w:rsidRPr="0054658A">
        <w:rPr>
          <w:rFonts w:ascii="Arial" w:hAnsi="Arial" w:cs="Arial"/>
          <w:b/>
          <w:sz w:val="20"/>
          <w:szCs w:val="20"/>
        </w:rPr>
        <w:t xml:space="preserve"> układu HLA - HLA B27, HLA DQ2/DQ8 i HLA - ABDR - pośrednia rozdzielczość-  na posiadanym analizatorze fluoroscencyjno-laserowym typu </w:t>
      </w:r>
      <w:proofErr w:type="spellStart"/>
      <w:r w:rsidRPr="0054658A">
        <w:rPr>
          <w:rFonts w:ascii="Arial" w:hAnsi="Arial" w:cs="Arial"/>
          <w:b/>
          <w:sz w:val="20"/>
          <w:szCs w:val="20"/>
        </w:rPr>
        <w:t>Luminex</w:t>
      </w:r>
      <w:proofErr w:type="spellEnd"/>
      <w:r w:rsidRPr="0054658A">
        <w:rPr>
          <w:rFonts w:ascii="Arial" w:hAnsi="Arial" w:cs="Arial"/>
          <w:b/>
          <w:sz w:val="20"/>
          <w:szCs w:val="20"/>
        </w:rPr>
        <w:t xml:space="preserve"> </w:t>
      </w:r>
    </w:p>
    <w:p w:rsidR="00D86C41" w:rsidRPr="0054658A" w:rsidRDefault="00D86C41" w:rsidP="005A39AD">
      <w:pPr>
        <w:rPr>
          <w:rFonts w:ascii="Arial" w:hAnsi="Arial" w:cs="Arial"/>
          <w:b/>
          <w:sz w:val="20"/>
          <w:szCs w:val="20"/>
        </w:rPr>
      </w:pPr>
      <w:r w:rsidRPr="00D86C41">
        <w:rPr>
          <w:rFonts w:ascii="Arial" w:hAnsi="Arial" w:cs="Arial"/>
          <w:b/>
          <w:sz w:val="20"/>
          <w:szCs w:val="20"/>
        </w:rPr>
        <w:t>Wykonawca jest zobowiązany pokryć koszty udziału w Warsztatach Kontroli Jakości Typowania HLA dla Krajów Europy Środkowej i Wschodniej organizowanej przez Polskie Towarzystwo Immunogenetyczne</w:t>
      </w:r>
    </w:p>
    <w:p w:rsidR="005A39AD" w:rsidRPr="0054658A" w:rsidRDefault="005A39AD" w:rsidP="005A39AD">
      <w:pPr>
        <w:rPr>
          <w:rFonts w:ascii="Arial" w:hAnsi="Arial" w:cs="Arial"/>
          <w:sz w:val="20"/>
          <w:szCs w:val="20"/>
          <w:u w:val="single"/>
        </w:rPr>
      </w:pPr>
      <w:r w:rsidRPr="0054658A">
        <w:rPr>
          <w:rFonts w:ascii="Arial" w:hAnsi="Arial" w:cs="Arial"/>
          <w:sz w:val="20"/>
          <w:szCs w:val="20"/>
          <w:u w:val="single"/>
        </w:rPr>
        <w:t>Opis odczynników lub/i testów- wymagania kluczowe</w:t>
      </w:r>
    </w:p>
    <w:p w:rsidR="005A39AD" w:rsidRPr="0054658A" w:rsidRDefault="005A39AD" w:rsidP="0067565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4658A">
        <w:rPr>
          <w:rFonts w:ascii="Arial" w:hAnsi="Arial" w:cs="Arial"/>
          <w:sz w:val="20"/>
          <w:szCs w:val="20"/>
        </w:rPr>
        <w:t>Zestaw testów, odczynników, kalibratorów i materiałów zużywalnych niezbędnych do </w:t>
      </w:r>
      <w:proofErr w:type="spellStart"/>
      <w:r w:rsidRPr="0054658A">
        <w:rPr>
          <w:rFonts w:ascii="Arial" w:hAnsi="Arial" w:cs="Arial"/>
          <w:sz w:val="20"/>
          <w:szCs w:val="20"/>
        </w:rPr>
        <w:t>genotypowania</w:t>
      </w:r>
      <w:proofErr w:type="spellEnd"/>
      <w:r w:rsidRPr="0054658A">
        <w:rPr>
          <w:rFonts w:ascii="Arial" w:hAnsi="Arial" w:cs="Arial"/>
          <w:sz w:val="20"/>
          <w:szCs w:val="20"/>
        </w:rPr>
        <w:t xml:space="preserve"> układu HLA </w:t>
      </w:r>
      <w:proofErr w:type="spellStart"/>
      <w:r w:rsidRPr="0054658A">
        <w:rPr>
          <w:rFonts w:ascii="Arial" w:hAnsi="Arial" w:cs="Arial"/>
          <w:sz w:val="20"/>
          <w:szCs w:val="20"/>
        </w:rPr>
        <w:t>locus</w:t>
      </w:r>
      <w:proofErr w:type="spellEnd"/>
      <w:r w:rsidRPr="0054658A">
        <w:rPr>
          <w:rFonts w:ascii="Arial" w:hAnsi="Arial" w:cs="Arial"/>
          <w:sz w:val="20"/>
          <w:szCs w:val="20"/>
        </w:rPr>
        <w:t xml:space="preserve"> A, B, C, DRB1, DQA1/B1 pośrednia rozdzielczość wraz z niezbędnym oprogramowaniem </w:t>
      </w:r>
      <w:r w:rsidR="0054658A">
        <w:rPr>
          <w:rFonts w:ascii="Arial" w:hAnsi="Arial" w:cs="Arial"/>
          <w:sz w:val="20"/>
          <w:szCs w:val="20"/>
        </w:rPr>
        <w:t xml:space="preserve">                       </w:t>
      </w:r>
      <w:r w:rsidRPr="0054658A">
        <w:rPr>
          <w:rFonts w:ascii="Arial" w:hAnsi="Arial" w:cs="Arial"/>
          <w:sz w:val="20"/>
          <w:szCs w:val="20"/>
        </w:rPr>
        <w:t>i oprzyrządowaniem umożliwiającym wykonanie badania bez dodatkowych zakupów</w:t>
      </w:r>
    </w:p>
    <w:p w:rsidR="005A39AD" w:rsidRPr="0054658A" w:rsidRDefault="005A39AD" w:rsidP="0067565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4658A">
        <w:rPr>
          <w:rFonts w:ascii="Arial" w:hAnsi="Arial" w:cs="Arial"/>
          <w:kern w:val="2"/>
          <w:sz w:val="20"/>
          <w:szCs w:val="20"/>
        </w:rPr>
        <w:t>Ilość niezgodności w badaniach układu HLA metodą PCR-SSO do 3%</w:t>
      </w:r>
    </w:p>
    <w:p w:rsidR="005A39AD" w:rsidRPr="0054658A" w:rsidRDefault="005A39AD" w:rsidP="0067565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4658A">
        <w:rPr>
          <w:rFonts w:ascii="Arial" w:hAnsi="Arial" w:cs="Arial"/>
          <w:kern w:val="2"/>
          <w:sz w:val="20"/>
          <w:szCs w:val="20"/>
        </w:rPr>
        <w:t>Reakcja w przypadku niezgodności dotyczących dostawy, jakości odczynników, parametrów technicznych, procedur wykonania oznaczeń itp. do 24 godzin</w:t>
      </w:r>
    </w:p>
    <w:p w:rsidR="00477461" w:rsidRPr="0054658A" w:rsidRDefault="00477461" w:rsidP="0047746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4658A">
        <w:rPr>
          <w:rFonts w:ascii="Arial" w:hAnsi="Arial" w:cs="Arial"/>
          <w:sz w:val="20"/>
          <w:szCs w:val="20"/>
        </w:rPr>
        <w:t>Odczynniki i materiały zużywalne dedykowane do</w:t>
      </w:r>
      <w:r w:rsidR="0054658A">
        <w:rPr>
          <w:rFonts w:ascii="Arial" w:hAnsi="Arial" w:cs="Arial"/>
          <w:sz w:val="20"/>
          <w:szCs w:val="20"/>
        </w:rPr>
        <w:t xml:space="preserve"> systemu </w:t>
      </w:r>
      <w:proofErr w:type="spellStart"/>
      <w:r w:rsidR="0054658A">
        <w:rPr>
          <w:rFonts w:ascii="Arial" w:hAnsi="Arial" w:cs="Arial"/>
          <w:sz w:val="20"/>
          <w:szCs w:val="20"/>
        </w:rPr>
        <w:t>Luminex</w:t>
      </w:r>
      <w:proofErr w:type="spellEnd"/>
      <w:r w:rsidR="0054658A">
        <w:rPr>
          <w:rFonts w:ascii="Arial" w:hAnsi="Arial" w:cs="Arial"/>
          <w:sz w:val="20"/>
          <w:szCs w:val="20"/>
        </w:rPr>
        <w:t xml:space="preserve"> , kompatybilne </w:t>
      </w:r>
      <w:r w:rsidRPr="0054658A">
        <w:rPr>
          <w:rFonts w:ascii="Arial" w:hAnsi="Arial" w:cs="Arial"/>
          <w:sz w:val="20"/>
          <w:szCs w:val="20"/>
        </w:rPr>
        <w:t xml:space="preserve">z oprogramowaniem wewnętrznym sprzętu. </w:t>
      </w:r>
      <w:r w:rsidR="0048034F" w:rsidRPr="0054658A">
        <w:rPr>
          <w:rFonts w:ascii="Arial" w:hAnsi="Arial" w:cs="Arial"/>
          <w:sz w:val="20"/>
          <w:szCs w:val="20"/>
        </w:rPr>
        <w:t xml:space="preserve">Technologia </w:t>
      </w:r>
      <w:proofErr w:type="spellStart"/>
      <w:r w:rsidR="0048034F" w:rsidRPr="0054658A">
        <w:rPr>
          <w:rFonts w:ascii="Arial" w:hAnsi="Arial" w:cs="Arial"/>
          <w:kern w:val="22"/>
          <w:sz w:val="20"/>
          <w:szCs w:val="20"/>
        </w:rPr>
        <w:t>Luminex</w:t>
      </w:r>
      <w:proofErr w:type="spellEnd"/>
      <w:r w:rsidR="0048034F" w:rsidRPr="0054658A">
        <w:rPr>
          <w:rFonts w:ascii="Arial" w:hAnsi="Arial" w:cs="Arial"/>
          <w:kern w:val="22"/>
          <w:sz w:val="20"/>
          <w:szCs w:val="20"/>
        </w:rPr>
        <w:t>/</w:t>
      </w:r>
      <w:proofErr w:type="spellStart"/>
      <w:r w:rsidR="0048034F" w:rsidRPr="0054658A">
        <w:rPr>
          <w:rFonts w:ascii="Arial" w:hAnsi="Arial" w:cs="Arial"/>
          <w:sz w:val="20"/>
          <w:szCs w:val="20"/>
        </w:rPr>
        <w:t>xMAP</w:t>
      </w:r>
      <w:proofErr w:type="spellEnd"/>
    </w:p>
    <w:p w:rsidR="0048034F" w:rsidRPr="0054658A" w:rsidRDefault="0048034F" w:rsidP="0067565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4658A">
        <w:rPr>
          <w:rFonts w:ascii="Arial" w:hAnsi="Arial" w:cs="Arial"/>
          <w:sz w:val="20"/>
          <w:szCs w:val="20"/>
        </w:rPr>
        <w:t>Oprogramowanie uwzględniające najnowszą nomenklaturę (zgodnie z zaleceniami WHO).</w:t>
      </w:r>
    </w:p>
    <w:p w:rsidR="0048034F" w:rsidRPr="0054658A" w:rsidRDefault="0048034F" w:rsidP="0067565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4658A">
        <w:rPr>
          <w:rFonts w:ascii="Arial" w:hAnsi="Arial" w:cs="Arial"/>
          <w:sz w:val="20"/>
          <w:szCs w:val="20"/>
        </w:rPr>
        <w:t xml:space="preserve">Oprogramowanie umożliwiające transmisję danych personalnych i medycznych z czytnika </w:t>
      </w:r>
      <w:proofErr w:type="spellStart"/>
      <w:r w:rsidRPr="0054658A">
        <w:rPr>
          <w:rFonts w:ascii="Arial" w:hAnsi="Arial" w:cs="Arial"/>
          <w:sz w:val="20"/>
          <w:szCs w:val="20"/>
        </w:rPr>
        <w:t>Luminex</w:t>
      </w:r>
      <w:proofErr w:type="spellEnd"/>
      <w:r w:rsidRPr="0054658A">
        <w:rPr>
          <w:rFonts w:ascii="Arial" w:hAnsi="Arial" w:cs="Arial"/>
          <w:sz w:val="20"/>
          <w:szCs w:val="20"/>
        </w:rPr>
        <w:t xml:space="preserve">  do bazy Centralnego Rejestru  </w:t>
      </w:r>
      <w:proofErr w:type="spellStart"/>
      <w:r w:rsidRPr="0054658A">
        <w:rPr>
          <w:rFonts w:ascii="Arial" w:hAnsi="Arial" w:cs="Arial"/>
          <w:sz w:val="20"/>
          <w:szCs w:val="20"/>
        </w:rPr>
        <w:t>Poltransplant</w:t>
      </w:r>
      <w:proofErr w:type="spellEnd"/>
      <w:r w:rsidRPr="0054658A">
        <w:rPr>
          <w:rFonts w:ascii="Arial" w:hAnsi="Arial" w:cs="Arial"/>
          <w:sz w:val="20"/>
          <w:szCs w:val="20"/>
        </w:rPr>
        <w:t>, niezależne od wewnętrznego systemu komputerowego do rejestrowania próbek krwi, użytkowanego w placówce zamawiającego</w:t>
      </w:r>
    </w:p>
    <w:p w:rsidR="0048034F" w:rsidRPr="0054658A" w:rsidRDefault="0048034F" w:rsidP="0067565B">
      <w:pPr>
        <w:pStyle w:val="Akapitzlist"/>
        <w:numPr>
          <w:ilvl w:val="0"/>
          <w:numId w:val="2"/>
        </w:numPr>
        <w:jc w:val="both"/>
        <w:rPr>
          <w:rStyle w:val="TeksttreciBezkursywy"/>
          <w:rFonts w:ascii="Arial" w:hAnsi="Arial" w:cs="Arial"/>
          <w:i w:val="0"/>
          <w:iCs w:val="0"/>
          <w:color w:val="auto"/>
          <w:sz w:val="20"/>
          <w:szCs w:val="20"/>
          <w:shd w:val="clear" w:color="auto" w:fill="auto"/>
          <w:lang w:eastAsia="en-US"/>
        </w:rPr>
      </w:pPr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>Oprogramowanie umożliwiające tworzenie bazy pacjentów i dawców z możliwością przeszukiwania bazy według ID próbki oraz ID pacjenta/dawcy.</w:t>
      </w:r>
    </w:p>
    <w:p w:rsidR="0048034F" w:rsidRPr="0054658A" w:rsidRDefault="0048034F" w:rsidP="0067565B">
      <w:pPr>
        <w:pStyle w:val="Akapitzlist"/>
        <w:numPr>
          <w:ilvl w:val="0"/>
          <w:numId w:val="2"/>
        </w:numPr>
        <w:jc w:val="both"/>
        <w:rPr>
          <w:rStyle w:val="TeksttreciBezkursywy"/>
          <w:rFonts w:ascii="Arial" w:hAnsi="Arial" w:cs="Arial"/>
          <w:i w:val="0"/>
          <w:iCs w:val="0"/>
          <w:color w:val="auto"/>
          <w:sz w:val="20"/>
          <w:szCs w:val="20"/>
          <w:shd w:val="clear" w:color="auto" w:fill="auto"/>
          <w:lang w:eastAsia="en-US"/>
        </w:rPr>
      </w:pPr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 xml:space="preserve">Oprogramowanie powinno pozwalać na analizę wyników badań poprzez interpretację surowych danych </w:t>
      </w:r>
      <w:r w:rsid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 xml:space="preserve">                </w:t>
      </w:r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 xml:space="preserve">z </w:t>
      </w:r>
      <w:proofErr w:type="spellStart"/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>fluorescencyjno</w:t>
      </w:r>
      <w:proofErr w:type="spellEnd"/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 xml:space="preserve"> - laserowego analizatora systemu </w:t>
      </w:r>
      <w:proofErr w:type="spellStart"/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>Luminex</w:t>
      </w:r>
      <w:proofErr w:type="spellEnd"/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 xml:space="preserve"> i podaniem sugerowanych wyników.</w:t>
      </w:r>
    </w:p>
    <w:p w:rsidR="0048034F" w:rsidRPr="0054658A" w:rsidRDefault="0048034F" w:rsidP="0067565B">
      <w:pPr>
        <w:pStyle w:val="Akapitzlist"/>
        <w:numPr>
          <w:ilvl w:val="0"/>
          <w:numId w:val="2"/>
        </w:numPr>
        <w:jc w:val="both"/>
        <w:rPr>
          <w:rStyle w:val="TeksttreciBezkursywy"/>
          <w:rFonts w:ascii="Arial" w:hAnsi="Arial" w:cs="Arial"/>
          <w:i w:val="0"/>
          <w:iCs w:val="0"/>
          <w:color w:val="auto"/>
          <w:sz w:val="20"/>
          <w:szCs w:val="20"/>
          <w:shd w:val="clear" w:color="auto" w:fill="auto"/>
          <w:lang w:eastAsia="en-US"/>
        </w:rPr>
      </w:pPr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 xml:space="preserve">Oprogramowanie powinno również umożliwiać przechowywanie wyników w bazie danych. Baza powinna być zaprojektowana, aby możliwe było wyszukiwanie wyników przeprowadzonych badań a także umieszczenia dodatkowych informacji. </w:t>
      </w:r>
    </w:p>
    <w:p w:rsidR="0048034F" w:rsidRPr="0054658A" w:rsidRDefault="0048034F" w:rsidP="0067565B">
      <w:pPr>
        <w:pStyle w:val="Akapitzlist"/>
        <w:numPr>
          <w:ilvl w:val="0"/>
          <w:numId w:val="2"/>
        </w:numPr>
        <w:jc w:val="both"/>
        <w:rPr>
          <w:rStyle w:val="TeksttreciBezkursywy"/>
          <w:rFonts w:ascii="Arial" w:hAnsi="Arial" w:cs="Arial"/>
          <w:i w:val="0"/>
          <w:iCs w:val="0"/>
          <w:color w:val="auto"/>
          <w:sz w:val="20"/>
          <w:szCs w:val="20"/>
          <w:shd w:val="clear" w:color="auto" w:fill="auto"/>
          <w:lang w:eastAsia="en-US"/>
        </w:rPr>
      </w:pPr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 xml:space="preserve">Należy określić ilość niejednoznacznych wyników badań </w:t>
      </w:r>
      <w:proofErr w:type="spellStart"/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>locus</w:t>
      </w:r>
      <w:proofErr w:type="spellEnd"/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 xml:space="preserve"> A, B, C, DRB1 i DQA1/B1 na poziomie niskiej rozdzielczości, która nie może być większa niż 2%.</w:t>
      </w:r>
    </w:p>
    <w:p w:rsidR="0014503A" w:rsidRPr="0054658A" w:rsidRDefault="0014503A" w:rsidP="0067565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4658A">
        <w:rPr>
          <w:rFonts w:ascii="Arial" w:hAnsi="Arial" w:cs="Arial"/>
          <w:sz w:val="20"/>
          <w:szCs w:val="20"/>
        </w:rPr>
        <w:t xml:space="preserve">Oprogramowanie posiadające możliwość kodowania wyników za pomocą kodów NMDP wraz </w:t>
      </w:r>
      <w:r w:rsidR="0054658A">
        <w:rPr>
          <w:rFonts w:ascii="Arial" w:hAnsi="Arial" w:cs="Arial"/>
          <w:sz w:val="20"/>
          <w:szCs w:val="20"/>
        </w:rPr>
        <w:t xml:space="preserve">                                    </w:t>
      </w:r>
      <w:r w:rsidRPr="0054658A">
        <w:rPr>
          <w:rFonts w:ascii="Arial" w:hAnsi="Arial" w:cs="Arial"/>
          <w:sz w:val="20"/>
          <w:szCs w:val="20"/>
        </w:rPr>
        <w:t>z objaśnieniem zastosowanych kodów. Możliwość aktualizacji bazy kodów NMDP online.</w:t>
      </w:r>
    </w:p>
    <w:p w:rsidR="0014503A" w:rsidRPr="0054658A" w:rsidRDefault="0014503A" w:rsidP="0067565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4658A">
        <w:rPr>
          <w:rFonts w:ascii="Arial" w:hAnsi="Arial" w:cs="Arial"/>
          <w:sz w:val="20"/>
          <w:szCs w:val="20"/>
        </w:rPr>
        <w:t>Metoda nie wymaga etapu neutralizacji, denaturacji oraz płukań</w:t>
      </w:r>
    </w:p>
    <w:p w:rsidR="0014503A" w:rsidRPr="0054658A" w:rsidRDefault="0014503A" w:rsidP="0067565B">
      <w:pPr>
        <w:ind w:left="405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4658A">
        <w:rPr>
          <w:rFonts w:ascii="Arial" w:hAnsi="Arial" w:cs="Arial"/>
          <w:bCs/>
          <w:sz w:val="20"/>
          <w:szCs w:val="20"/>
          <w:u w:val="single"/>
        </w:rPr>
        <w:t>Opis odczynników lub/i testów - wymagana dokumentacja</w:t>
      </w:r>
    </w:p>
    <w:p w:rsidR="0014503A" w:rsidRPr="0054658A" w:rsidRDefault="0014503A" w:rsidP="0067565B">
      <w:pPr>
        <w:pStyle w:val="Akapitzlist"/>
        <w:numPr>
          <w:ilvl w:val="0"/>
          <w:numId w:val="5"/>
        </w:numPr>
        <w:tabs>
          <w:tab w:val="left" w:pos="1005"/>
        </w:tabs>
        <w:jc w:val="both"/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</w:pPr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 xml:space="preserve">Do testów musi być dołączona instrukcja wykonania badania (w języku polskim oraz oryginalna), oraz materiały informacyjne potwierdzające spełnianie powyższych wymogów </w:t>
      </w:r>
    </w:p>
    <w:p w:rsidR="005A39AD" w:rsidRPr="0054658A" w:rsidRDefault="0014503A" w:rsidP="0067565B">
      <w:pPr>
        <w:pStyle w:val="Akapitzlist"/>
        <w:numPr>
          <w:ilvl w:val="0"/>
          <w:numId w:val="4"/>
        </w:numPr>
        <w:jc w:val="both"/>
        <w:rPr>
          <w:rStyle w:val="TeksttreciBezkursywy"/>
          <w:rFonts w:ascii="Arial" w:hAnsi="Arial" w:cs="Arial"/>
          <w:i w:val="0"/>
          <w:iCs w:val="0"/>
          <w:color w:val="auto"/>
          <w:sz w:val="20"/>
          <w:szCs w:val="20"/>
          <w:u w:val="single"/>
          <w:shd w:val="clear" w:color="auto" w:fill="auto"/>
          <w:lang w:eastAsia="en-US"/>
        </w:rPr>
      </w:pPr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>Każda partia dostarczonych przedmiotów zamówienia (odczynników, testów i materiałów zużywalnych) musi posiadać znak CE, IVD i certyfikat jakości zawierający oznaczenia serii lub partii wyrobu, datę produkcji i datę ważności.</w:t>
      </w:r>
    </w:p>
    <w:p w:rsidR="0014503A" w:rsidRPr="0054658A" w:rsidRDefault="0014503A" w:rsidP="0067565B">
      <w:pPr>
        <w:pStyle w:val="Akapitzlist"/>
        <w:numPr>
          <w:ilvl w:val="0"/>
          <w:numId w:val="4"/>
        </w:numPr>
        <w:jc w:val="both"/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</w:pPr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 xml:space="preserve">Szczegółowa specyfikacja odczynników w języku polskim i angielskim </w:t>
      </w:r>
    </w:p>
    <w:p w:rsidR="0014503A" w:rsidRPr="0054658A" w:rsidRDefault="0067565B" w:rsidP="0067565B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54658A">
        <w:rPr>
          <w:rFonts w:ascii="Arial" w:hAnsi="Arial" w:cs="Arial"/>
          <w:sz w:val="20"/>
          <w:szCs w:val="20"/>
          <w:u w:val="single"/>
        </w:rPr>
        <w:t>Wymagania dodatkowe</w:t>
      </w:r>
    </w:p>
    <w:p w:rsidR="0067565B" w:rsidRPr="0054658A" w:rsidRDefault="0067565B" w:rsidP="0067565B">
      <w:pPr>
        <w:pStyle w:val="Akapitzlist"/>
        <w:numPr>
          <w:ilvl w:val="0"/>
          <w:numId w:val="6"/>
        </w:numPr>
        <w:ind w:left="709" w:hanging="425"/>
        <w:jc w:val="both"/>
        <w:rPr>
          <w:rStyle w:val="TeksttreciBezkursywy"/>
          <w:rFonts w:ascii="Arial" w:hAnsi="Arial" w:cs="Arial"/>
          <w:i w:val="0"/>
          <w:iCs w:val="0"/>
          <w:color w:val="auto"/>
          <w:sz w:val="20"/>
          <w:szCs w:val="20"/>
          <w:u w:val="single"/>
          <w:shd w:val="clear" w:color="auto" w:fill="auto"/>
          <w:lang w:eastAsia="en-US"/>
        </w:rPr>
      </w:pPr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>Wszystkie testy i odczynniki muszą być dopuszczone do użytku w badaniach molekularnych</w:t>
      </w:r>
    </w:p>
    <w:p w:rsidR="0067565B" w:rsidRPr="0054658A" w:rsidRDefault="0067565B" w:rsidP="0067565B">
      <w:pPr>
        <w:pStyle w:val="Akapitzlist"/>
        <w:numPr>
          <w:ilvl w:val="0"/>
          <w:numId w:val="6"/>
        </w:numPr>
        <w:ind w:left="709" w:hanging="425"/>
        <w:jc w:val="both"/>
        <w:rPr>
          <w:rStyle w:val="TeksttreciBezkursywy"/>
          <w:rFonts w:ascii="Arial" w:hAnsi="Arial" w:cs="Arial"/>
          <w:i w:val="0"/>
          <w:iCs w:val="0"/>
          <w:color w:val="auto"/>
          <w:sz w:val="20"/>
          <w:szCs w:val="20"/>
          <w:u w:val="single"/>
          <w:shd w:val="clear" w:color="auto" w:fill="auto"/>
          <w:lang w:eastAsia="en-US"/>
        </w:rPr>
      </w:pPr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 xml:space="preserve">Oferent udziela gwarancji, że dostarczony przedmiot zamówienia jest wolny od wad prawnych. W przypadku wystąpienia osób trzecich z roszczeniami z tytułu praw patentowych lub autorskich odpowiedzialność </w:t>
      </w:r>
      <w:r w:rsid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 xml:space="preserve">                       </w:t>
      </w:r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 xml:space="preserve">i wszelkie koszty z tego tytułu będzie ponosił Oferent. </w:t>
      </w:r>
    </w:p>
    <w:p w:rsidR="0054658A" w:rsidRPr="0054658A" w:rsidRDefault="0067565B" w:rsidP="0054658A">
      <w:pPr>
        <w:pStyle w:val="Akapitzlist"/>
        <w:numPr>
          <w:ilvl w:val="0"/>
          <w:numId w:val="6"/>
        </w:numPr>
        <w:ind w:left="709" w:hanging="425"/>
        <w:jc w:val="both"/>
        <w:rPr>
          <w:rStyle w:val="TeksttreciBezkursywy"/>
          <w:rFonts w:ascii="Arial" w:hAnsi="Arial" w:cs="Arial"/>
          <w:i w:val="0"/>
          <w:iCs w:val="0"/>
          <w:color w:val="auto"/>
          <w:sz w:val="20"/>
          <w:szCs w:val="20"/>
          <w:u w:val="single"/>
          <w:shd w:val="clear" w:color="auto" w:fill="auto"/>
          <w:lang w:eastAsia="en-US"/>
        </w:rPr>
      </w:pPr>
      <w:r w:rsidRPr="0054658A">
        <w:rPr>
          <w:rStyle w:val="TeksttreciBezkursywy"/>
          <w:rFonts w:ascii="Arial" w:hAnsi="Arial" w:cs="Arial"/>
          <w:i w:val="0"/>
          <w:sz w:val="20"/>
          <w:szCs w:val="20"/>
          <w:lang w:eastAsia="pl-PL"/>
        </w:rPr>
        <w:t>W okresie trwania Umowy Oferent zobowiązuje się do załatwienia we własnym zakresie - bez udziału Kupującego, wszelkich formalności w tym celnych, związanych z ewentualną wymianą przedmiotu zamówienia na nowy, jego wysyłką i odbiorem lub z importem.</w:t>
      </w:r>
    </w:p>
    <w:p w:rsidR="0054658A" w:rsidRPr="0054658A" w:rsidRDefault="0067565B" w:rsidP="0054658A">
      <w:pPr>
        <w:pStyle w:val="Akapitzlist"/>
        <w:numPr>
          <w:ilvl w:val="0"/>
          <w:numId w:val="6"/>
        </w:numPr>
        <w:ind w:left="709" w:hanging="425"/>
        <w:jc w:val="both"/>
        <w:rPr>
          <w:rStyle w:val="TeksttreciBezkursywy"/>
          <w:rFonts w:ascii="Arial" w:hAnsi="Arial" w:cs="Arial"/>
          <w:i w:val="0"/>
          <w:iCs w:val="0"/>
          <w:color w:val="auto"/>
          <w:sz w:val="20"/>
          <w:szCs w:val="20"/>
          <w:u w:val="single"/>
          <w:shd w:val="clear" w:color="auto" w:fill="auto"/>
          <w:lang w:eastAsia="en-US"/>
        </w:rPr>
      </w:pPr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lastRenderedPageBreak/>
        <w:t>Oferent zobowiązuje się  do bieżącej, bezpłatnej pomocy technicznej w zakresie wykonania i analizy badań HLA przy użyciu oferowanych testów lub/i odczynników.</w:t>
      </w:r>
    </w:p>
    <w:p w:rsidR="0054658A" w:rsidRPr="0054658A" w:rsidRDefault="0067565B" w:rsidP="0054658A">
      <w:pPr>
        <w:pStyle w:val="Akapitzlist"/>
        <w:numPr>
          <w:ilvl w:val="0"/>
          <w:numId w:val="6"/>
        </w:numPr>
        <w:ind w:left="709" w:hanging="425"/>
        <w:jc w:val="both"/>
        <w:rPr>
          <w:rStyle w:val="TeksttreciBezkursywy"/>
          <w:rFonts w:ascii="Arial" w:hAnsi="Arial" w:cs="Arial"/>
          <w:i w:val="0"/>
          <w:iCs w:val="0"/>
          <w:color w:val="auto"/>
          <w:sz w:val="20"/>
          <w:szCs w:val="20"/>
          <w:u w:val="single"/>
          <w:shd w:val="clear" w:color="auto" w:fill="auto"/>
          <w:lang w:eastAsia="en-US"/>
        </w:rPr>
      </w:pPr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 xml:space="preserve">Potwierdzony status Producenta </w:t>
      </w:r>
      <w:r w:rsid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>lub A</w:t>
      </w:r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>utoryzowanego dystrybutora odczynników lub/i testów.</w:t>
      </w:r>
    </w:p>
    <w:p w:rsidR="0054658A" w:rsidRPr="0054658A" w:rsidRDefault="0054658A" w:rsidP="0054658A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>Dostarczenie poszczególnych partii odczynników lu</w:t>
      </w:r>
      <w:r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 xml:space="preserve">b/i testów musi odbywać się </w:t>
      </w:r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 xml:space="preserve">w opakowaniach </w:t>
      </w:r>
      <w:r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 xml:space="preserve">                        </w:t>
      </w:r>
      <w:r w:rsidRPr="0054658A">
        <w:rPr>
          <w:rStyle w:val="TeksttreciBezkursywy"/>
          <w:rFonts w:ascii="Arial" w:hAnsi="Arial" w:cs="Arial"/>
          <w:i w:val="0"/>
          <w:iCs w:val="0"/>
          <w:sz w:val="20"/>
          <w:szCs w:val="20"/>
          <w:lang w:eastAsia="pl-PL"/>
        </w:rPr>
        <w:t>i z oznakowaniem zgodnych z odpowiednimi przepisami z zachowaniem właściwych dla wyrobu medycznego warunków transportu i przechowywania.</w:t>
      </w:r>
    </w:p>
    <w:p w:rsidR="0054658A" w:rsidRDefault="0054658A" w:rsidP="0054658A">
      <w:pPr>
        <w:pStyle w:val="Akapitzlist"/>
        <w:ind w:left="108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A01807" w:rsidRDefault="00A01807" w:rsidP="0054658A">
      <w:pPr>
        <w:pStyle w:val="Akapitzlist"/>
        <w:ind w:left="108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A01807" w:rsidRPr="00A01807" w:rsidRDefault="00A01807" w:rsidP="00A01807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A0180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A01807" w:rsidRPr="00A01807" w:rsidRDefault="00A01807" w:rsidP="00A01807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A01807" w:rsidRPr="00A01807" w:rsidRDefault="00A01807" w:rsidP="00A01807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A01807">
        <w:rPr>
          <w:rFonts w:ascii="Arial" w:eastAsiaTheme="minorEastAsia" w:hAnsi="Arial" w:cs="Arial"/>
          <w:sz w:val="20"/>
          <w:szCs w:val="20"/>
          <w:lang w:eastAsia="pl-PL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A01807" w:rsidRPr="00A01807" w:rsidRDefault="00A01807" w:rsidP="00A0180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A01807" w:rsidRPr="00A01807" w:rsidRDefault="00A01807" w:rsidP="00A01807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A01807">
        <w:rPr>
          <w:rFonts w:ascii="Arial" w:eastAsiaTheme="minorEastAsia" w:hAnsi="Arial" w:cs="Arial"/>
          <w:sz w:val="20"/>
          <w:szCs w:val="20"/>
          <w:lang w:eastAsia="pl-PL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A01807" w:rsidRPr="00A01807" w:rsidRDefault="00A01807" w:rsidP="00A01807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pl-PL"/>
        </w:rPr>
      </w:pPr>
    </w:p>
    <w:p w:rsidR="00A01807" w:rsidRPr="00A01807" w:rsidRDefault="00A01807" w:rsidP="00A01807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pl-PL"/>
        </w:rPr>
      </w:pPr>
    </w:p>
    <w:p w:rsidR="00A01807" w:rsidRPr="00A01807" w:rsidRDefault="00A01807" w:rsidP="00A01807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pl-PL"/>
        </w:rPr>
      </w:pPr>
    </w:p>
    <w:p w:rsidR="00A01807" w:rsidRPr="00A01807" w:rsidRDefault="00A01807" w:rsidP="00A01807">
      <w:pPr>
        <w:spacing w:after="0" w:line="240" w:lineRule="auto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A01807">
        <w:rPr>
          <w:rFonts w:ascii="Arial Narrow" w:eastAsiaTheme="minorEastAsia" w:hAnsi="Arial Narrow" w:cs="Tahoma"/>
          <w:sz w:val="20"/>
          <w:szCs w:val="20"/>
          <w:lang w:eastAsia="pl-PL"/>
        </w:rPr>
        <w:t>………………….., dnia …………………..</w:t>
      </w:r>
    </w:p>
    <w:p w:rsidR="00A01807" w:rsidRPr="00A01807" w:rsidRDefault="00A01807" w:rsidP="00A01807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A01807" w:rsidRPr="00A01807" w:rsidRDefault="00A01807" w:rsidP="00A01807">
      <w:pPr>
        <w:spacing w:after="0" w:line="240" w:lineRule="auto"/>
        <w:ind w:left="3828" w:right="106"/>
        <w:jc w:val="center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A01807">
        <w:rPr>
          <w:rFonts w:asciiTheme="majorHAnsi" w:eastAsia="Times New Roman" w:hAnsiTheme="majorHAnsi" w:cs="Tahoma"/>
          <w:sz w:val="20"/>
          <w:szCs w:val="20"/>
          <w:lang w:eastAsia="pl-PL"/>
        </w:rPr>
        <w:t>…………………………………………………………..</w:t>
      </w:r>
    </w:p>
    <w:p w:rsidR="00A01807" w:rsidRPr="00A01807" w:rsidRDefault="00A01807" w:rsidP="00A01807">
      <w:pPr>
        <w:spacing w:after="0" w:line="240" w:lineRule="auto"/>
        <w:ind w:left="3828" w:right="106"/>
        <w:jc w:val="center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A01807">
        <w:rPr>
          <w:rFonts w:asciiTheme="majorHAnsi" w:eastAsia="Times New Roman" w:hAnsiTheme="majorHAnsi" w:cs="Tahoma"/>
          <w:sz w:val="20"/>
          <w:szCs w:val="20"/>
          <w:lang w:eastAsia="pl-PL"/>
        </w:rPr>
        <w:t>kwalifikowany podpis elektroniczny przedstawiciela</w:t>
      </w:r>
    </w:p>
    <w:p w:rsidR="00A01807" w:rsidRPr="00A01807" w:rsidRDefault="00A01807" w:rsidP="00A0180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A01807" w:rsidRPr="0054658A" w:rsidRDefault="00A01807" w:rsidP="0054658A">
      <w:pPr>
        <w:pStyle w:val="Akapitzlist"/>
        <w:ind w:left="108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</w:p>
    <w:sectPr w:rsidR="00A01807" w:rsidRPr="0054658A" w:rsidSect="00477461">
      <w:headerReference w:type="default" r:id="rId7"/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C4" w:rsidRDefault="004F17C4" w:rsidP="00A01807">
      <w:pPr>
        <w:spacing w:after="0" w:line="240" w:lineRule="auto"/>
      </w:pPr>
      <w:r>
        <w:separator/>
      </w:r>
    </w:p>
  </w:endnote>
  <w:endnote w:type="continuationSeparator" w:id="0">
    <w:p w:rsidR="004F17C4" w:rsidRDefault="004F17C4" w:rsidP="00A0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C4" w:rsidRDefault="004F17C4" w:rsidP="00A01807">
      <w:pPr>
        <w:spacing w:after="0" w:line="240" w:lineRule="auto"/>
      </w:pPr>
      <w:r>
        <w:separator/>
      </w:r>
    </w:p>
  </w:footnote>
  <w:footnote w:type="continuationSeparator" w:id="0">
    <w:p w:rsidR="004F17C4" w:rsidRDefault="004F17C4" w:rsidP="00A0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07" w:rsidRPr="00A01807" w:rsidRDefault="00A01807" w:rsidP="00A01807">
    <w:pPr>
      <w:spacing w:after="0" w:line="240" w:lineRule="auto"/>
      <w:ind w:left="7080"/>
      <w:rPr>
        <w:rFonts w:ascii="Tahoma" w:eastAsiaTheme="minorEastAsia" w:hAnsi="Tahoma" w:cs="Tahoma"/>
        <w:b/>
        <w:bCs/>
        <w:i/>
        <w:sz w:val="24"/>
        <w:szCs w:val="24"/>
        <w:u w:val="single"/>
        <w:lang w:eastAsia="pl-PL"/>
      </w:rPr>
    </w:pPr>
    <w:r w:rsidRPr="00A01807">
      <w:rPr>
        <w:rFonts w:ascii="Tahoma" w:eastAsiaTheme="minorEastAsia" w:hAnsi="Tahoma" w:cs="Tahoma"/>
        <w:b/>
        <w:bCs/>
        <w:i/>
        <w:sz w:val="24"/>
        <w:szCs w:val="24"/>
        <w:u w:val="single"/>
        <w:lang w:eastAsia="pl-PL"/>
      </w:rPr>
      <w:t>Załącznik nr 3</w:t>
    </w:r>
  </w:p>
  <w:p w:rsidR="00A01807" w:rsidRPr="00A01807" w:rsidRDefault="00A01807" w:rsidP="00A01807">
    <w:pPr>
      <w:spacing w:after="0" w:line="240" w:lineRule="auto"/>
      <w:rPr>
        <w:rFonts w:ascii="Tahoma" w:eastAsiaTheme="minorEastAsia" w:hAnsi="Tahoma" w:cs="Tahoma"/>
        <w:b/>
        <w:bCs/>
        <w:lang w:eastAsia="pl-PL"/>
      </w:rPr>
    </w:pPr>
    <w:r w:rsidRPr="00A01807">
      <w:rPr>
        <w:rFonts w:ascii="Tahoma" w:eastAsiaTheme="minorEastAsia" w:hAnsi="Tahoma" w:cs="Tahoma"/>
        <w:b/>
        <w:bCs/>
        <w:lang w:eastAsia="pl-PL"/>
      </w:rPr>
      <w:t>Sprawa nr  ZP /84/ 2020</w:t>
    </w:r>
  </w:p>
  <w:p w:rsidR="00A01807" w:rsidRPr="00A01807" w:rsidRDefault="00A01807" w:rsidP="00A01807">
    <w:pPr>
      <w:spacing w:after="0" w:line="240" w:lineRule="auto"/>
      <w:rPr>
        <w:rFonts w:ascii="Tahoma" w:eastAsiaTheme="minorEastAsia" w:hAnsi="Tahoma" w:cs="Tahoma"/>
        <w:b/>
        <w:bCs/>
        <w:lang w:eastAsia="pl-PL"/>
      </w:rPr>
    </w:pPr>
  </w:p>
  <w:p w:rsidR="00A01807" w:rsidRPr="00A01807" w:rsidRDefault="00A01807" w:rsidP="00A01807">
    <w:pPr>
      <w:spacing w:after="0" w:line="240" w:lineRule="auto"/>
      <w:rPr>
        <w:rFonts w:ascii="Tahoma" w:eastAsiaTheme="minorEastAsia" w:hAnsi="Tahoma" w:cs="Tahoma"/>
        <w:b/>
        <w:sz w:val="24"/>
        <w:szCs w:val="24"/>
        <w:lang w:eastAsia="pl-PL"/>
      </w:rPr>
    </w:pPr>
    <w:r w:rsidRPr="00A01807">
      <w:rPr>
        <w:rFonts w:ascii="Tahoma" w:eastAsiaTheme="minorEastAsia" w:hAnsi="Tahoma" w:cs="Tahoma"/>
        <w:b/>
        <w:sz w:val="24"/>
        <w:szCs w:val="24"/>
        <w:lang w:eastAsia="pl-PL"/>
      </w:rPr>
      <w:t>Zestawienie Parametrów technicznych i wymogów granicznych</w:t>
    </w:r>
  </w:p>
  <w:p w:rsidR="00A01807" w:rsidRDefault="00A01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C9F"/>
    <w:multiLevelType w:val="hybridMultilevel"/>
    <w:tmpl w:val="666EF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DB3"/>
    <w:multiLevelType w:val="hybridMultilevel"/>
    <w:tmpl w:val="8D321B10"/>
    <w:lvl w:ilvl="0" w:tplc="8000DD0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FD7E64"/>
    <w:multiLevelType w:val="hybridMultilevel"/>
    <w:tmpl w:val="4FCA528E"/>
    <w:lvl w:ilvl="0" w:tplc="8000D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27C8"/>
    <w:multiLevelType w:val="hybridMultilevel"/>
    <w:tmpl w:val="D63C68CA"/>
    <w:lvl w:ilvl="0" w:tplc="8000DD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9F5C57"/>
    <w:multiLevelType w:val="hybridMultilevel"/>
    <w:tmpl w:val="83700972"/>
    <w:lvl w:ilvl="0" w:tplc="8000D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5625"/>
    <w:multiLevelType w:val="hybridMultilevel"/>
    <w:tmpl w:val="F2DA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AD"/>
    <w:rsid w:val="0014503A"/>
    <w:rsid w:val="002579BE"/>
    <w:rsid w:val="00433136"/>
    <w:rsid w:val="00477461"/>
    <w:rsid w:val="0048034F"/>
    <w:rsid w:val="004B281D"/>
    <w:rsid w:val="004F17C4"/>
    <w:rsid w:val="0054658A"/>
    <w:rsid w:val="005A39AD"/>
    <w:rsid w:val="0067565B"/>
    <w:rsid w:val="00A01807"/>
    <w:rsid w:val="00AD2F3B"/>
    <w:rsid w:val="00C53419"/>
    <w:rsid w:val="00D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8597"/>
  <w15:chartTrackingRefBased/>
  <w15:docId w15:val="{3F8449A7-7D20-43E8-9B21-7AC1A15A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9AD"/>
    <w:pPr>
      <w:ind w:left="720"/>
      <w:contextualSpacing/>
    </w:pPr>
  </w:style>
  <w:style w:type="character" w:customStyle="1" w:styleId="TeksttreciBezkursywy">
    <w:name w:val="Tekst treści + Bez kursywy"/>
    <w:rsid w:val="0048034F"/>
    <w:rPr>
      <w:rFonts w:ascii="Times New Roman" w:hAnsi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x-none" w:bidi="ar-SA"/>
    </w:rPr>
  </w:style>
  <w:style w:type="character" w:customStyle="1" w:styleId="Absatz-Standardschriftart">
    <w:name w:val="Absatz-Standardschriftart"/>
    <w:rsid w:val="0048034F"/>
  </w:style>
  <w:style w:type="character" w:customStyle="1" w:styleId="Teksttreci">
    <w:name w:val="Tekst treści_"/>
    <w:link w:val="Teksttreci0"/>
    <w:locked/>
    <w:rsid w:val="00477461"/>
    <w:rPr>
      <w:i/>
      <w:i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461"/>
    <w:pPr>
      <w:widowControl w:val="0"/>
      <w:shd w:val="clear" w:color="auto" w:fill="FFFFFF"/>
      <w:spacing w:before="180" w:after="120" w:line="240" w:lineRule="atLeast"/>
    </w:pPr>
    <w:rPr>
      <w:i/>
      <w:iCs/>
      <w:sz w:val="21"/>
      <w:szCs w:val="21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A0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807"/>
  </w:style>
  <w:style w:type="paragraph" w:styleId="Stopka">
    <w:name w:val="footer"/>
    <w:basedOn w:val="Normalny"/>
    <w:link w:val="StopkaZnak"/>
    <w:uiPriority w:val="99"/>
    <w:unhideWhenUsed/>
    <w:rsid w:val="00A0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Andrzejczak</cp:lastModifiedBy>
  <cp:revision>3</cp:revision>
  <dcterms:created xsi:type="dcterms:W3CDTF">2020-12-28T11:18:00Z</dcterms:created>
  <dcterms:modified xsi:type="dcterms:W3CDTF">2020-12-29T14:08:00Z</dcterms:modified>
</cp:coreProperties>
</file>