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EE" w:rsidRDefault="007C2FEE" w:rsidP="007C2FEE">
      <w:pPr>
        <w:spacing w:line="10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Załącznik nr 3 </w:t>
      </w:r>
    </w:p>
    <w:p w:rsidR="007C2FEE" w:rsidRPr="00292A52" w:rsidRDefault="007C2FEE" w:rsidP="007C2FEE">
      <w:pPr>
        <w:spacing w:line="100" w:lineRule="atLeast"/>
        <w:rPr>
          <w:rFonts w:ascii="Arial" w:hAnsi="Arial"/>
          <w:b/>
          <w:u w:val="single"/>
        </w:rPr>
      </w:pPr>
      <w:r w:rsidRPr="00292A52">
        <w:rPr>
          <w:rFonts w:ascii="Arial" w:hAnsi="Arial"/>
          <w:b/>
          <w:u w:val="single"/>
        </w:rPr>
        <w:t xml:space="preserve">do pakietu nr </w:t>
      </w:r>
      <w:r w:rsidR="004B5EDB">
        <w:rPr>
          <w:rFonts w:ascii="Arial" w:hAnsi="Arial"/>
          <w:b/>
          <w:u w:val="single"/>
        </w:rPr>
        <w:t>8</w:t>
      </w:r>
      <w:r w:rsidRPr="00292A52">
        <w:rPr>
          <w:rFonts w:ascii="Arial" w:hAnsi="Arial"/>
          <w:b/>
          <w:u w:val="single"/>
        </w:rPr>
        <w:t>8</w:t>
      </w:r>
    </w:p>
    <w:p w:rsidR="007C2FEE" w:rsidRDefault="007C2FEE" w:rsidP="007C2FEE">
      <w:pPr>
        <w:spacing w:line="100" w:lineRule="atLeast"/>
        <w:rPr>
          <w:rFonts w:ascii="Arial" w:hAnsi="Arial"/>
          <w:b/>
        </w:rPr>
      </w:pPr>
    </w:p>
    <w:p w:rsidR="007C2FEE" w:rsidRDefault="007C2FEE" w:rsidP="007C2FEE">
      <w:pPr>
        <w:spacing w:line="10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Automatyczny system do </w:t>
      </w:r>
      <w:proofErr w:type="spellStart"/>
      <w:r>
        <w:rPr>
          <w:rFonts w:ascii="Arial" w:hAnsi="Arial"/>
          <w:b/>
        </w:rPr>
        <w:t>barwień</w:t>
      </w:r>
      <w:proofErr w:type="spellEnd"/>
      <w:r>
        <w:rPr>
          <w:rFonts w:ascii="Arial" w:hAnsi="Arial"/>
          <w:b/>
        </w:rPr>
        <w:t xml:space="preserve"> IHC:</w:t>
      </w:r>
    </w:p>
    <w:p w:rsidR="00865513" w:rsidRDefault="007C2FEE" w:rsidP="00865513">
      <w:pPr>
        <w:spacing w:line="100" w:lineRule="atLeast"/>
        <w:rPr>
          <w:rFonts w:ascii="Arial" w:hAnsi="Arial"/>
        </w:rPr>
      </w:pPr>
      <w:r w:rsidRPr="00B71DDF">
        <w:rPr>
          <w:rFonts w:cstheme="minorHAnsi"/>
        </w:rPr>
        <w:t xml:space="preserve"> Aparat posiada w zestawie: komputer z </w:t>
      </w:r>
      <w:r w:rsidRPr="00B71DDF">
        <w:rPr>
          <w:rFonts w:cstheme="minorHAnsi"/>
          <w:b/>
        </w:rPr>
        <w:t>zainstalowanym</w:t>
      </w:r>
      <w:r w:rsidRPr="00B71DDF">
        <w:rPr>
          <w:rFonts w:cstheme="minorHAnsi"/>
        </w:rPr>
        <w:t xml:space="preserve"> oprogramowaniem informatycznym, w </w:t>
      </w:r>
      <w:r w:rsidR="00865513">
        <w:rPr>
          <w:rFonts w:cstheme="minorHAnsi"/>
        </w:rPr>
        <w:br/>
        <w:t xml:space="preserve"> </w:t>
      </w:r>
      <w:r w:rsidRPr="00B71DDF">
        <w:rPr>
          <w:rFonts w:cstheme="minorHAnsi"/>
        </w:rPr>
        <w:t xml:space="preserve"> tym zabezpieczeniem antywirusowym z automatyczną aktualizacją na okres trwania umowy, </w:t>
      </w:r>
      <w:r w:rsidR="00865513">
        <w:rPr>
          <w:rFonts w:cstheme="minorHAnsi"/>
        </w:rPr>
        <w:br/>
        <w:t xml:space="preserve"> </w:t>
      </w:r>
      <w:r w:rsidRPr="00B71DDF">
        <w:rPr>
          <w:rFonts w:cstheme="minorHAnsi"/>
        </w:rPr>
        <w:t xml:space="preserve"> laserową drukarkę do raportów z tonerami zapewniającymi ciągłość pracy do końca trwania </w:t>
      </w:r>
      <w:r w:rsidR="00865513">
        <w:rPr>
          <w:rFonts w:cstheme="minorHAnsi"/>
        </w:rPr>
        <w:br/>
        <w:t xml:space="preserve">  </w:t>
      </w:r>
      <w:r w:rsidRPr="00B71DDF">
        <w:rPr>
          <w:rFonts w:cstheme="minorHAnsi"/>
        </w:rPr>
        <w:t xml:space="preserve">umowy, (zamawianymi sukcesywnie), drukarkę kodów kreskowych, wraz z </w:t>
      </w:r>
      <w:r w:rsidR="00865513">
        <w:rPr>
          <w:rFonts w:cstheme="minorHAnsi"/>
        </w:rPr>
        <w:t>zestawem naklejek,</w:t>
      </w:r>
      <w:r w:rsidR="00865513">
        <w:rPr>
          <w:rFonts w:cstheme="minorHAnsi"/>
        </w:rPr>
        <w:br/>
        <w:t xml:space="preserve">  r</w:t>
      </w:r>
      <w:r w:rsidRPr="00B71DDF">
        <w:rPr>
          <w:rFonts w:cstheme="minorHAnsi"/>
        </w:rPr>
        <w:t xml:space="preserve">ęczny czytnik kodów,  zasilacz, UPS odpowiedni do zasilacza komputera i </w:t>
      </w:r>
      <w:r w:rsidR="00865513">
        <w:rPr>
          <w:rFonts w:cstheme="minorHAnsi"/>
        </w:rPr>
        <w:br/>
        <w:t xml:space="preserve">  </w:t>
      </w:r>
      <w:r w:rsidRPr="00B71DDF">
        <w:rPr>
          <w:rFonts w:cstheme="minorHAnsi"/>
        </w:rPr>
        <w:t>monitora,  myszkę , klawiaturę, listwę antyprzepi</w:t>
      </w:r>
      <w:r w:rsidR="00865513">
        <w:rPr>
          <w:rFonts w:cstheme="minorHAnsi"/>
        </w:rPr>
        <w:t xml:space="preserve">ęciową na co najmniej 5 gniazd oraz </w:t>
      </w:r>
      <w:r w:rsidR="00865513">
        <w:rPr>
          <w:rFonts w:ascii="Calibri" w:eastAsia="Calibri" w:hAnsi="Calibri" w:cs="Calibri"/>
          <w:color w:val="000000"/>
        </w:rPr>
        <w:t xml:space="preserve">tusze do  </w:t>
      </w:r>
      <w:r w:rsidR="00865513">
        <w:rPr>
          <w:rFonts w:ascii="Calibri" w:eastAsia="Calibri" w:hAnsi="Calibri" w:cs="Calibri"/>
          <w:color w:val="000000"/>
        </w:rPr>
        <w:br/>
        <w:t xml:space="preserve">  drukarek na czas trwania umowy dzierżawy. </w:t>
      </w:r>
    </w:p>
    <w:p w:rsidR="00865513" w:rsidRDefault="00865513" w:rsidP="00865513">
      <w:pPr>
        <w:spacing w:line="100" w:lineRule="atLeast"/>
        <w:rPr>
          <w:rFonts w:ascii="Calibri" w:eastAsia="Calibri" w:hAnsi="Calibri" w:cs="Calibri"/>
          <w:color w:val="000000"/>
        </w:rPr>
      </w:pPr>
      <w:r>
        <w:rPr>
          <w:rFonts w:ascii="Arial" w:hAnsi="Arial"/>
          <w:b/>
          <w:bCs/>
        </w:rPr>
        <w:t xml:space="preserve">Wymagane cechy systemu do </w:t>
      </w:r>
      <w:proofErr w:type="spellStart"/>
      <w:r>
        <w:rPr>
          <w:rFonts w:ascii="Arial" w:hAnsi="Arial"/>
          <w:b/>
          <w:bCs/>
        </w:rPr>
        <w:t>barwień</w:t>
      </w:r>
      <w:proofErr w:type="spellEnd"/>
      <w:r>
        <w:rPr>
          <w:rFonts w:ascii="Arial" w:hAnsi="Arial"/>
          <w:b/>
          <w:bCs/>
        </w:rPr>
        <w:t xml:space="preserve"> IHC:</w:t>
      </w:r>
    </w:p>
    <w:p w:rsid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1</w:t>
      </w:r>
      <w:r w:rsidR="00B71DDF">
        <w:rPr>
          <w:rFonts w:cstheme="minorHAnsi"/>
        </w:rPr>
        <w:t xml:space="preserve">. </w:t>
      </w:r>
      <w:r w:rsidRPr="00B71DDF">
        <w:rPr>
          <w:rFonts w:cstheme="minorHAnsi"/>
        </w:rPr>
        <w:t xml:space="preserve">Aparat musi być </w:t>
      </w:r>
      <w:proofErr w:type="spellStart"/>
      <w:r w:rsidRPr="00B71DDF">
        <w:rPr>
          <w:rFonts w:cstheme="minorHAnsi"/>
        </w:rPr>
        <w:t>nablatowy</w:t>
      </w:r>
      <w:proofErr w:type="spellEnd"/>
      <w:r w:rsidRPr="00B71DDF">
        <w:rPr>
          <w:rFonts w:cstheme="minorHAnsi"/>
        </w:rPr>
        <w:t xml:space="preserve">,  przeznaczony do badań IHC in vitro i posiadać certyfikat CE, a także </w:t>
      </w:r>
      <w:r w:rsidR="00E202C8" w:rsidRPr="00B71DDF">
        <w:rPr>
          <w:rFonts w:cstheme="minorHAnsi"/>
        </w:rPr>
        <w:t xml:space="preserve">   </w:t>
      </w:r>
      <w:r w:rsidR="00E202C8" w:rsidRPr="00B71DDF">
        <w:rPr>
          <w:rFonts w:cstheme="minorHAnsi"/>
        </w:rPr>
        <w:br/>
        <w:t xml:space="preserve">   </w:t>
      </w:r>
      <w:r w:rsidRPr="00B71DDF">
        <w:rPr>
          <w:rFonts w:cstheme="minorHAnsi"/>
        </w:rPr>
        <w:t xml:space="preserve">pozwalać na barwienie, ułożonych poziomo, co najmniej 45 szkiełek w tym samym czasie oraz </w:t>
      </w:r>
      <w:r w:rsidR="00E202C8" w:rsidRPr="00B71DDF">
        <w:rPr>
          <w:rFonts w:cstheme="minorHAnsi"/>
        </w:rPr>
        <w:br/>
        <w:t xml:space="preserve">   </w:t>
      </w:r>
      <w:r w:rsidRPr="00B71DDF">
        <w:rPr>
          <w:rFonts w:cstheme="minorHAnsi"/>
        </w:rPr>
        <w:t>pracować w temperaturze otoczenia</w:t>
      </w:r>
    </w:p>
    <w:p w:rsidR="00C318DF" w:rsidRP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2. Aparat musi zapewnić możliwość stosowania odczynników (przeciwciał pierwotnych i systemów </w:t>
      </w:r>
      <w:r w:rsidR="00E202C8" w:rsidRPr="00B71DDF">
        <w:rPr>
          <w:rFonts w:cstheme="minorHAnsi"/>
        </w:rPr>
        <w:br/>
        <w:t xml:space="preserve">     </w:t>
      </w:r>
      <w:r w:rsidRPr="00B71DDF">
        <w:rPr>
          <w:rFonts w:cstheme="minorHAnsi"/>
        </w:rPr>
        <w:t>wizualizacji ) innych producentów – system otwarty</w:t>
      </w:r>
    </w:p>
    <w:p w:rsidR="00C318DF" w:rsidRP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3. Oferowany analizator musi zapewnić  możliwość </w:t>
      </w:r>
      <w:proofErr w:type="spellStart"/>
      <w:r w:rsidRPr="00B71DDF">
        <w:rPr>
          <w:rFonts w:cstheme="minorHAnsi"/>
        </w:rPr>
        <w:t>bezksylenowego</w:t>
      </w:r>
      <w:proofErr w:type="spellEnd"/>
      <w:r w:rsidRPr="00B71DDF">
        <w:rPr>
          <w:rFonts w:cstheme="minorHAnsi"/>
        </w:rPr>
        <w:t xml:space="preserve"> </w:t>
      </w:r>
      <w:r w:rsidR="007C2FEE">
        <w:rPr>
          <w:rFonts w:cstheme="minorHAnsi"/>
        </w:rPr>
        <w:t xml:space="preserve">automatycznego  </w:t>
      </w:r>
      <w:r w:rsidR="007C2FEE">
        <w:rPr>
          <w:rFonts w:cstheme="minorHAnsi"/>
        </w:rPr>
        <w:br/>
        <w:t xml:space="preserve">     </w:t>
      </w:r>
      <w:r w:rsidRPr="00B71DDF">
        <w:rPr>
          <w:rFonts w:cstheme="minorHAnsi"/>
        </w:rPr>
        <w:t xml:space="preserve">odparafinowania i odkrywania </w:t>
      </w:r>
      <w:r w:rsidR="00E202C8" w:rsidRPr="00B71DDF">
        <w:rPr>
          <w:rFonts w:cstheme="minorHAnsi"/>
        </w:rPr>
        <w:t xml:space="preserve"> </w:t>
      </w:r>
      <w:r w:rsidRPr="00B71DDF">
        <w:rPr>
          <w:rFonts w:cstheme="minorHAnsi"/>
        </w:rPr>
        <w:t xml:space="preserve">antygenów, umożliwiając odparafinowanie, uwodnienie i odkrycie </w:t>
      </w:r>
      <w:r w:rsidR="007C2FEE">
        <w:rPr>
          <w:rFonts w:cstheme="minorHAnsi"/>
        </w:rPr>
        <w:br/>
        <w:t xml:space="preserve">     co najmniej 45 szkiełek </w:t>
      </w:r>
      <w:r w:rsidR="00B71DDF">
        <w:rPr>
          <w:rFonts w:cstheme="minorHAnsi"/>
        </w:rPr>
        <w:t>j</w:t>
      </w:r>
      <w:r w:rsidRPr="00B71DDF">
        <w:rPr>
          <w:rFonts w:cstheme="minorHAnsi"/>
        </w:rPr>
        <w:t>ednocześnie</w:t>
      </w:r>
    </w:p>
    <w:p w:rsidR="00C318DF" w:rsidRP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4. Aparat zapewnia segregację płynnych odpadów na szkodliwe i nieszkodliwe z zabezpieczeniami </w:t>
      </w:r>
      <w:r w:rsidR="00B71DDF">
        <w:rPr>
          <w:rFonts w:cstheme="minorHAnsi"/>
        </w:rPr>
        <w:t xml:space="preserve">  </w:t>
      </w:r>
      <w:r w:rsidR="00B71DDF">
        <w:rPr>
          <w:rFonts w:cstheme="minorHAnsi"/>
        </w:rPr>
        <w:br/>
        <w:t xml:space="preserve">    </w:t>
      </w:r>
      <w:r w:rsidRPr="00B71DDF">
        <w:rPr>
          <w:rFonts w:cstheme="minorHAnsi"/>
        </w:rPr>
        <w:t>uniemożliwiającym skażenie miejsca pracy6. Aparat/oprogramowanie umożliwia stosowanie co najmniej 36 różnych przeciwciał</w:t>
      </w:r>
      <w:r w:rsidR="00B71DDF" w:rsidRPr="00B71DDF">
        <w:rPr>
          <w:rFonts w:cstheme="minorHAnsi"/>
        </w:rPr>
        <w:t xml:space="preserve"> </w:t>
      </w:r>
      <w:r w:rsidRPr="00B71DDF">
        <w:rPr>
          <w:rFonts w:cstheme="minorHAnsi"/>
        </w:rPr>
        <w:t xml:space="preserve">i 45 różnych </w:t>
      </w:r>
      <w:r w:rsidR="00B71DDF" w:rsidRPr="00B71DDF">
        <w:rPr>
          <w:rFonts w:cstheme="minorHAnsi"/>
        </w:rPr>
        <w:br/>
        <w:t xml:space="preserve">    </w:t>
      </w:r>
      <w:r w:rsidRPr="00B71DDF">
        <w:rPr>
          <w:rFonts w:cstheme="minorHAnsi"/>
        </w:rPr>
        <w:t>protokołów barwienia w jednym cyklu pracy</w:t>
      </w:r>
    </w:p>
    <w:p w:rsidR="00C318DF" w:rsidRP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7. Aparat zapewnia możliwość tworzenia własnych protokołów przez użytkownika  </w:t>
      </w:r>
    </w:p>
    <w:p w:rsidR="00C318DF" w:rsidRP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8. Aparat pozwala na zastosowanie różnych systemów detekcji</w:t>
      </w:r>
      <w:r w:rsidR="00B71DDF" w:rsidRPr="00B71DDF">
        <w:rPr>
          <w:rFonts w:cstheme="minorHAnsi"/>
        </w:rPr>
        <w:t xml:space="preserve"> </w:t>
      </w:r>
      <w:r w:rsidRPr="00B71DDF">
        <w:rPr>
          <w:rFonts w:cstheme="minorHAnsi"/>
        </w:rPr>
        <w:t>i chromogenów w jednym cyklu pracy</w:t>
      </w:r>
    </w:p>
    <w:p w:rsidR="00C318DF" w:rsidRP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9. Analizator posiada możliwość wykonania oznaczeń podwójnych na jednym szkiełku</w:t>
      </w:r>
    </w:p>
    <w:p w:rsidR="00C318DF" w:rsidRP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10. Analizator umożliwia zaprogramowanie miejsca podawania odczynników dla indywidualnych </w:t>
      </w:r>
      <w:r w:rsidR="00E202C8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>próbek przeciwciał, systemów detekcji i chromogenów</w:t>
      </w:r>
    </w:p>
    <w:p w:rsidR="00C318DF" w:rsidRPr="00B71D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11 Aparat posiada możliwość dodatkowego wyboru kombinacji trzech sekcji nakrapiania dla każdego </w:t>
      </w:r>
      <w:r w:rsidR="00E202C8" w:rsidRPr="00B71DDF">
        <w:rPr>
          <w:rFonts w:cstheme="minorHAnsi"/>
        </w:rPr>
        <w:br/>
        <w:t xml:space="preserve">      </w:t>
      </w:r>
      <w:r w:rsidRPr="00B71DDF">
        <w:rPr>
          <w:rFonts w:cstheme="minorHAnsi"/>
        </w:rPr>
        <w:t>pojedynczego szkiełka</w:t>
      </w:r>
    </w:p>
    <w:p w:rsidR="00C318DF" w:rsidRDefault="00C318DF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12. Aparat zapewnia możliwość ciągłego dokładania różnych objętości odczynników, bez konieczności </w:t>
      </w:r>
      <w:r w:rsidR="00E202C8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>oczekiwania na zakończenie cyklu barwienia</w:t>
      </w:r>
    </w:p>
    <w:p w:rsidR="001A4B62" w:rsidRPr="00B71DDF" w:rsidRDefault="001A4B62" w:rsidP="00E202C8">
      <w:pPr>
        <w:spacing w:before="240" w:line="240" w:lineRule="auto"/>
        <w:rPr>
          <w:rFonts w:cstheme="minorHAnsi"/>
        </w:rPr>
      </w:pPr>
      <w:r>
        <w:rPr>
          <w:rFonts w:cstheme="minorHAnsi"/>
        </w:rPr>
        <w:t xml:space="preserve">13. </w:t>
      </w:r>
      <w:r>
        <w:rPr>
          <w:rFonts w:ascii="Calibri" w:eastAsia="Calibri" w:hAnsi="Calibri" w:cs="Calibri"/>
          <w:color w:val="000000"/>
        </w:rPr>
        <w:t>Możliwość stosowania butelek na odczynniki o pojemnościach: 5 i 12 ml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14. Analizator umożliwia nastawienia barwienia IHC na noc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lastRenderedPageBreak/>
        <w:t xml:space="preserve">15. Oprogramowanie posiada możliwość tworzenia raportów (wg.: daty wykonania odczynu, numeru </w:t>
      </w:r>
      <w:r w:rsidRPr="00B71DDF">
        <w:rPr>
          <w:rFonts w:cstheme="minorHAnsi"/>
        </w:rPr>
        <w:br/>
        <w:t xml:space="preserve">       badania, numeru bloczka, użytego przeciwciała, protokołu barwienia) dziennych, miesięcznych,   </w:t>
      </w:r>
      <w:r w:rsidRPr="00B71DDF">
        <w:rPr>
          <w:rFonts w:cstheme="minorHAnsi"/>
        </w:rPr>
        <w:br/>
        <w:t xml:space="preserve">       statystyk, przeglądania zleceń, raportowania powtórek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16. Oprogramowanie pozwala na podłączenie do LAN (</w:t>
      </w:r>
      <w:proofErr w:type="spellStart"/>
      <w:r w:rsidRPr="00B71DDF">
        <w:rPr>
          <w:rFonts w:cstheme="minorHAnsi"/>
        </w:rPr>
        <w:t>Local</w:t>
      </w:r>
      <w:proofErr w:type="spellEnd"/>
      <w:r w:rsidRPr="00B71DDF">
        <w:rPr>
          <w:rFonts w:cstheme="minorHAnsi"/>
        </w:rPr>
        <w:t xml:space="preserve"> </w:t>
      </w:r>
      <w:proofErr w:type="spellStart"/>
      <w:r w:rsidRPr="00B71DDF">
        <w:rPr>
          <w:rFonts w:cstheme="minorHAnsi"/>
        </w:rPr>
        <w:t>Area</w:t>
      </w:r>
      <w:proofErr w:type="spellEnd"/>
      <w:r w:rsidRPr="00B71DDF">
        <w:rPr>
          <w:rFonts w:cstheme="minorHAnsi"/>
        </w:rPr>
        <w:t xml:space="preserve"> Network), umożliwiając zdalne </w:t>
      </w:r>
      <w:r w:rsidR="00B71DDF" w:rsidRPr="00B71DDF">
        <w:rPr>
          <w:rFonts w:cstheme="minorHAnsi"/>
        </w:rPr>
        <w:br/>
        <w:t xml:space="preserve">      </w:t>
      </w:r>
      <w:r w:rsidRPr="00B71DDF">
        <w:rPr>
          <w:rFonts w:cstheme="minorHAnsi"/>
        </w:rPr>
        <w:t>wprowadzanie zleceń z innych pomieszczeń</w:t>
      </w:r>
    </w:p>
    <w:p w:rsidR="00E202C8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17. Oprogramowanie daje możliwość dwukierunkowej integracji z bazą danych LIS </w:t>
      </w:r>
    </w:p>
    <w:p w:rsidR="007C2FEE" w:rsidRDefault="007C2FEE" w:rsidP="007C2FEE">
      <w:pPr>
        <w:widowControl w:val="0"/>
        <w:suppressAutoHyphens/>
        <w:spacing w:after="0" w:line="100" w:lineRule="atLeast"/>
        <w:rPr>
          <w:rFonts w:ascii="Calibri" w:eastAsia="Calibri" w:hAnsi="Calibri" w:cs="Calibri"/>
          <w:color w:val="000000"/>
        </w:rPr>
      </w:pPr>
      <w:r>
        <w:rPr>
          <w:rFonts w:cstheme="minorHAnsi"/>
        </w:rPr>
        <w:t xml:space="preserve">18. </w:t>
      </w:r>
      <w:r>
        <w:rPr>
          <w:rFonts w:ascii="Calibri" w:eastAsia="Calibri" w:hAnsi="Calibri" w:cs="Calibri"/>
          <w:color w:val="000000"/>
        </w:rPr>
        <w:t xml:space="preserve">Identyfikacja szkiełek i odczynników za pomocą </w:t>
      </w:r>
      <w:proofErr w:type="spellStart"/>
      <w:r>
        <w:rPr>
          <w:rFonts w:ascii="Calibri" w:eastAsia="Calibri" w:hAnsi="Calibri" w:cs="Calibri"/>
          <w:color w:val="000000"/>
        </w:rPr>
        <w:t>barkodów</w:t>
      </w:r>
      <w:proofErr w:type="spellEnd"/>
    </w:p>
    <w:p w:rsidR="00865513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19. Przeciwciała pierwotne w gotowych rozcieńczeniach i stężone przeznaczone są do diagnostyki </w:t>
      </w:r>
      <w:r w:rsidR="00B71DDF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 xml:space="preserve">ludzkiego materiału tkankowego, utrwalonego w formalinie i zatopionego w parafinie i posiadają </w:t>
      </w:r>
      <w:r w:rsidR="00B71DDF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>certyfikat IVD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20. W przypadku zaoferowania przeciwciał pierwotnych w formie skoncentrowanej Wykonawca </w:t>
      </w:r>
      <w:r w:rsidR="00B71DDF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 xml:space="preserve">zapewnia wystarczającą ilość rozcieńczalnika do przeciwciał oraz puste pojemniki/butelki różnej </w:t>
      </w:r>
      <w:r w:rsidR="00B71DDF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>objętości kompatybilne z oferowanym urządzeniem do diagnostyki IHC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21. Wykonawca musi dostarczyć zoptymalizowane protokoły barwienia dla przeciwciał pierwotnych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22. Wykonawca zapewnia możliwość zastosowania protokołów i wszystkich odczynników w metodzie </w:t>
      </w:r>
      <w:r w:rsidR="00B71DDF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 xml:space="preserve">manualnej bez dodatkowej optymalizacji protokołów barwienia 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24. Wykonawca zapewnia nieodpłatną instalację, uruchomienie i </w:t>
      </w:r>
      <w:proofErr w:type="spellStart"/>
      <w:r w:rsidRPr="00B71DDF">
        <w:rPr>
          <w:rFonts w:cstheme="minorHAnsi"/>
        </w:rPr>
        <w:t>zwalidowanie</w:t>
      </w:r>
      <w:proofErr w:type="spellEnd"/>
      <w:r w:rsidRPr="00B71DDF">
        <w:rPr>
          <w:rFonts w:cstheme="minorHAnsi"/>
        </w:rPr>
        <w:t xml:space="preserve"> całości systemu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25. Wykonawca zapewnia szkolenie personelu z zakresu obsługi i użytkowania aparatu po jego </w:t>
      </w:r>
      <w:r w:rsidR="00B71DDF" w:rsidRPr="00B71DDF">
        <w:rPr>
          <w:rFonts w:cstheme="minorHAnsi"/>
        </w:rPr>
        <w:br/>
        <w:t xml:space="preserve">        </w:t>
      </w:r>
      <w:r w:rsidRPr="00B71DDF">
        <w:rPr>
          <w:rFonts w:cstheme="minorHAnsi"/>
        </w:rPr>
        <w:t>dostarczeniu, w miejscu instalacji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26. Oprogramowanie i instrukcja obsługi w polskiej wersji językowej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27. Wykonawca zapewnia bezpłatną, usługę serwisową obejmującą bieżące naprawy dotyczące </w:t>
      </w:r>
      <w:r w:rsidR="00B71DDF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 xml:space="preserve">aparatu, monitora, drukarek, UPS, listwy antyprzepięciowej przeglądy, aktualizowanie </w:t>
      </w:r>
      <w:r w:rsidR="00B71DDF" w:rsidRPr="00B71DDF">
        <w:rPr>
          <w:rFonts w:cstheme="minorHAnsi"/>
        </w:rPr>
        <w:t xml:space="preserve"> </w:t>
      </w:r>
      <w:r w:rsidR="00B71DDF" w:rsidRPr="00B71DDF">
        <w:rPr>
          <w:rFonts w:cstheme="minorHAnsi"/>
        </w:rPr>
        <w:br/>
        <w:t xml:space="preserve">       </w:t>
      </w:r>
      <w:r w:rsidRPr="00B71DDF">
        <w:rPr>
          <w:rFonts w:cstheme="minorHAnsi"/>
        </w:rPr>
        <w:t>oprogramowania  i części zamienne w czasie trwania umowy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30. System powinien umożliwiać programowanie i podgląd badań, drukowanie naklejek z </w:t>
      </w:r>
      <w:proofErr w:type="spellStart"/>
      <w:r w:rsidRPr="00B71DDF">
        <w:rPr>
          <w:rFonts w:cstheme="minorHAnsi"/>
        </w:rPr>
        <w:t>barkodami</w:t>
      </w:r>
      <w:proofErr w:type="spellEnd"/>
      <w:r w:rsidRPr="00B71DDF">
        <w:rPr>
          <w:rFonts w:cstheme="minorHAnsi"/>
        </w:rPr>
        <w:t xml:space="preserve"> </w:t>
      </w:r>
      <w:r w:rsidR="00B71DDF" w:rsidRPr="00B71DDF">
        <w:rPr>
          <w:rFonts w:cstheme="minorHAnsi"/>
        </w:rPr>
        <w:br/>
        <w:t xml:space="preserve">      </w:t>
      </w:r>
      <w:r w:rsidRPr="00B71DDF">
        <w:rPr>
          <w:rFonts w:cstheme="minorHAnsi"/>
        </w:rPr>
        <w:t>na szkiełkach i odczynnikach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31. Oprogramowanie umożliwia drukowanie protokołów barwienia poszczególnych badań IHC </w:t>
      </w:r>
      <w:r w:rsidR="00B71DDF" w:rsidRPr="00B71DDF">
        <w:rPr>
          <w:rFonts w:cstheme="minorHAnsi"/>
        </w:rPr>
        <w:br/>
        <w:t xml:space="preserve">      </w:t>
      </w:r>
      <w:r w:rsidRPr="00B71DDF">
        <w:rPr>
          <w:rFonts w:cstheme="minorHAnsi"/>
        </w:rPr>
        <w:t xml:space="preserve">(zawierające rodzaj odkrywania, długość inkubacji z przeciwciałem, zastosowany system barwiący, </w:t>
      </w:r>
      <w:r w:rsidR="00B71DDF" w:rsidRPr="00B71DDF">
        <w:rPr>
          <w:rFonts w:cstheme="minorHAnsi"/>
        </w:rPr>
        <w:br/>
        <w:t xml:space="preserve">      </w:t>
      </w:r>
      <w:r w:rsidRPr="00B71DDF">
        <w:rPr>
          <w:rFonts w:cstheme="minorHAnsi"/>
        </w:rPr>
        <w:t>czasy inkubacji)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 xml:space="preserve">32. Aparat daje możliwość badań IHC na skrawkach </w:t>
      </w:r>
      <w:proofErr w:type="spellStart"/>
      <w:r w:rsidRPr="00B71DDF">
        <w:rPr>
          <w:rFonts w:cstheme="minorHAnsi"/>
        </w:rPr>
        <w:t>mrożakowych</w:t>
      </w:r>
      <w:proofErr w:type="spellEnd"/>
      <w:r w:rsidRPr="00B71DDF">
        <w:rPr>
          <w:rFonts w:cstheme="minorHAnsi"/>
        </w:rPr>
        <w:t>, preparatach rozmazowych</w:t>
      </w:r>
    </w:p>
    <w:p w:rsidR="00865513" w:rsidRPr="00FA6B64" w:rsidRDefault="00E202C8" w:rsidP="00865513">
      <w:pPr>
        <w:widowControl w:val="0"/>
        <w:suppressAutoHyphens/>
        <w:spacing w:after="0" w:line="100" w:lineRule="atLeast"/>
        <w:rPr>
          <w:rFonts w:ascii="Calibri" w:hAnsi="Calibri" w:cs="Calibri"/>
        </w:rPr>
      </w:pPr>
      <w:r w:rsidRPr="00B71DDF">
        <w:rPr>
          <w:rFonts w:cstheme="minorHAnsi"/>
        </w:rPr>
        <w:t xml:space="preserve">33. </w:t>
      </w:r>
      <w:r w:rsidR="00865513" w:rsidRPr="00FA6B64">
        <w:rPr>
          <w:rFonts w:ascii="Calibri" w:eastAsia="Calibri" w:hAnsi="Calibri" w:cs="Calibri"/>
          <w:color w:val="000000"/>
        </w:rPr>
        <w:t xml:space="preserve">Konserwacja aparatu nie dłuższa niż 40 min. bez użycia środków zawierających chlor 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34. Czas reakcji serwisu do 24 h od momentu zgłoszenia usterki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35. Termin usunięcia zgłoszonej awarii max 48 h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t>36. Termin instalacji aparatu 4 tygodnie od daty podpisania umowy</w:t>
      </w: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r w:rsidRPr="00B71DDF">
        <w:rPr>
          <w:rFonts w:cstheme="minorHAnsi"/>
        </w:rPr>
        <w:lastRenderedPageBreak/>
        <w:t>37. Data ważności odczynników co najmniej 12 miesięcy</w:t>
      </w:r>
    </w:p>
    <w:p w:rsidR="001A4B62" w:rsidRPr="00B71DDF" w:rsidRDefault="001A4B62" w:rsidP="001A4B62">
      <w:pPr>
        <w:spacing w:before="240" w:line="240" w:lineRule="auto"/>
        <w:rPr>
          <w:rFonts w:cstheme="minorHAnsi"/>
        </w:rPr>
      </w:pPr>
      <w:r>
        <w:rPr>
          <w:rFonts w:cstheme="minorHAnsi"/>
        </w:rPr>
        <w:t>38.</w:t>
      </w:r>
      <w:r w:rsidRPr="00B71DDF">
        <w:rPr>
          <w:rFonts w:cstheme="minorHAnsi"/>
        </w:rPr>
        <w:t xml:space="preserve"> Rok produkcji nie starszy niż 2020 z gwarancją na okres trwania dzierżawy</w:t>
      </w:r>
    </w:p>
    <w:p w:rsidR="001A4B62" w:rsidRPr="00B71DDF" w:rsidRDefault="001A4B62" w:rsidP="00E202C8">
      <w:pPr>
        <w:spacing w:before="240" w:line="240" w:lineRule="auto"/>
        <w:rPr>
          <w:rFonts w:cstheme="minorHAnsi"/>
        </w:rPr>
      </w:pP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</w:p>
    <w:p w:rsidR="00F23653" w:rsidRPr="00F23653" w:rsidRDefault="00F23653" w:rsidP="00F23653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F23653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F23653" w:rsidRPr="00F23653" w:rsidRDefault="00F23653" w:rsidP="00F23653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F23653" w:rsidRPr="00F23653" w:rsidRDefault="00F23653" w:rsidP="00F23653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F23653">
        <w:rPr>
          <w:rFonts w:ascii="Arial" w:eastAsiaTheme="minorEastAsia" w:hAnsi="Arial" w:cs="Arial"/>
          <w:sz w:val="20"/>
          <w:szCs w:val="20"/>
          <w:lang w:eastAsia="pl-PL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F23653" w:rsidRPr="00F23653" w:rsidRDefault="00F23653" w:rsidP="00F2365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F23653" w:rsidRPr="00F23653" w:rsidRDefault="00F23653" w:rsidP="00F23653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F23653">
        <w:rPr>
          <w:rFonts w:ascii="Arial" w:eastAsiaTheme="minorEastAsia" w:hAnsi="Arial" w:cs="Arial"/>
          <w:sz w:val="20"/>
          <w:szCs w:val="20"/>
          <w:lang w:eastAsia="pl-PL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F23653" w:rsidRPr="00F23653" w:rsidRDefault="00F23653" w:rsidP="00F23653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F23653" w:rsidRPr="00F23653" w:rsidRDefault="00F23653" w:rsidP="00F23653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F23653" w:rsidRPr="00F23653" w:rsidRDefault="00F23653" w:rsidP="00F23653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F23653" w:rsidRPr="00F23653" w:rsidRDefault="00F23653" w:rsidP="00F23653">
      <w:pPr>
        <w:spacing w:after="0" w:line="240" w:lineRule="auto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F23653">
        <w:rPr>
          <w:rFonts w:ascii="Arial Narrow" w:eastAsiaTheme="minorEastAsia" w:hAnsi="Arial Narrow" w:cs="Tahoma"/>
          <w:sz w:val="20"/>
          <w:szCs w:val="20"/>
          <w:lang w:eastAsia="pl-PL"/>
        </w:rPr>
        <w:t>………………….., dnia …………………..</w:t>
      </w:r>
    </w:p>
    <w:p w:rsidR="00F23653" w:rsidRPr="00F23653" w:rsidRDefault="00F23653" w:rsidP="00F2365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F23653" w:rsidRPr="00F23653" w:rsidRDefault="00F23653" w:rsidP="00F23653">
      <w:pPr>
        <w:spacing w:after="0" w:line="240" w:lineRule="auto"/>
        <w:ind w:left="3828" w:right="106"/>
        <w:jc w:val="center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F23653">
        <w:rPr>
          <w:rFonts w:asciiTheme="majorHAnsi" w:eastAsia="Times New Roman" w:hAnsiTheme="majorHAnsi" w:cs="Tahoma"/>
          <w:sz w:val="20"/>
          <w:szCs w:val="20"/>
          <w:lang w:eastAsia="pl-PL"/>
        </w:rPr>
        <w:t>…………………………………………………………..</w:t>
      </w:r>
    </w:p>
    <w:p w:rsidR="00F23653" w:rsidRPr="00F23653" w:rsidRDefault="00F23653" w:rsidP="00F23653">
      <w:pPr>
        <w:spacing w:after="0" w:line="240" w:lineRule="auto"/>
        <w:ind w:left="3828" w:right="106"/>
        <w:jc w:val="center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F23653">
        <w:rPr>
          <w:rFonts w:asciiTheme="majorHAnsi" w:eastAsia="Times New Roman" w:hAnsiTheme="majorHAnsi" w:cs="Tahoma"/>
          <w:sz w:val="20"/>
          <w:szCs w:val="20"/>
          <w:lang w:eastAsia="pl-PL"/>
        </w:rPr>
        <w:t>kwalifikowany podpis elektroniczny przedstawiciela</w:t>
      </w:r>
    </w:p>
    <w:p w:rsidR="00F23653" w:rsidRPr="00F23653" w:rsidRDefault="00F23653" w:rsidP="00F2365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E202C8" w:rsidRPr="00B71DDF" w:rsidRDefault="00E202C8" w:rsidP="00E202C8">
      <w:pPr>
        <w:spacing w:before="240" w:line="240" w:lineRule="auto"/>
        <w:rPr>
          <w:rFonts w:cstheme="minorHAnsi"/>
        </w:rPr>
      </w:pPr>
      <w:bookmarkStart w:id="0" w:name="_GoBack"/>
      <w:bookmarkEnd w:id="0"/>
    </w:p>
    <w:sectPr w:rsidR="00E202C8" w:rsidRPr="00B71D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2F" w:rsidRDefault="0064092F" w:rsidP="00F23653">
      <w:pPr>
        <w:spacing w:after="0" w:line="240" w:lineRule="auto"/>
      </w:pPr>
      <w:r>
        <w:separator/>
      </w:r>
    </w:p>
  </w:endnote>
  <w:endnote w:type="continuationSeparator" w:id="0">
    <w:p w:rsidR="0064092F" w:rsidRDefault="0064092F" w:rsidP="00F2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2F" w:rsidRDefault="0064092F" w:rsidP="00F23653">
      <w:pPr>
        <w:spacing w:after="0" w:line="240" w:lineRule="auto"/>
      </w:pPr>
      <w:r>
        <w:separator/>
      </w:r>
    </w:p>
  </w:footnote>
  <w:footnote w:type="continuationSeparator" w:id="0">
    <w:p w:rsidR="0064092F" w:rsidRDefault="0064092F" w:rsidP="00F2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53" w:rsidRPr="00F23653" w:rsidRDefault="00F23653" w:rsidP="00F23653">
    <w:pPr>
      <w:spacing w:after="0" w:line="240" w:lineRule="auto"/>
      <w:ind w:left="7080"/>
      <w:rPr>
        <w:rFonts w:ascii="Tahoma" w:eastAsiaTheme="minorEastAsia" w:hAnsi="Tahoma" w:cs="Tahoma"/>
        <w:b/>
        <w:bCs/>
        <w:i/>
        <w:sz w:val="24"/>
        <w:szCs w:val="24"/>
        <w:u w:val="single"/>
        <w:lang w:eastAsia="pl-PL"/>
      </w:rPr>
    </w:pPr>
    <w:r w:rsidRPr="00F23653">
      <w:rPr>
        <w:rFonts w:ascii="Tahoma" w:eastAsiaTheme="minorEastAsia" w:hAnsi="Tahoma" w:cs="Tahoma"/>
        <w:b/>
        <w:bCs/>
        <w:i/>
        <w:sz w:val="24"/>
        <w:szCs w:val="24"/>
        <w:u w:val="single"/>
        <w:lang w:eastAsia="pl-PL"/>
      </w:rPr>
      <w:t>Załącznik nr 3</w:t>
    </w:r>
  </w:p>
  <w:p w:rsidR="00F23653" w:rsidRPr="00F23653" w:rsidRDefault="00F23653" w:rsidP="00F23653">
    <w:pPr>
      <w:spacing w:after="0" w:line="240" w:lineRule="auto"/>
      <w:rPr>
        <w:rFonts w:ascii="Tahoma" w:eastAsiaTheme="minorEastAsia" w:hAnsi="Tahoma" w:cs="Tahoma"/>
        <w:b/>
        <w:bCs/>
        <w:lang w:eastAsia="pl-PL"/>
      </w:rPr>
    </w:pPr>
    <w:r w:rsidRPr="00F23653">
      <w:rPr>
        <w:rFonts w:ascii="Tahoma" w:eastAsiaTheme="minorEastAsia" w:hAnsi="Tahoma" w:cs="Tahoma"/>
        <w:b/>
        <w:bCs/>
        <w:lang w:eastAsia="pl-PL"/>
      </w:rPr>
      <w:t>Sprawa nr  ZP /84/ 2020</w:t>
    </w:r>
  </w:p>
  <w:p w:rsidR="00F23653" w:rsidRPr="00F23653" w:rsidRDefault="00F23653" w:rsidP="00F23653">
    <w:pPr>
      <w:spacing w:after="0" w:line="240" w:lineRule="auto"/>
      <w:rPr>
        <w:rFonts w:ascii="Tahoma" w:eastAsiaTheme="minorEastAsia" w:hAnsi="Tahoma" w:cs="Tahoma"/>
        <w:b/>
        <w:bCs/>
        <w:lang w:eastAsia="pl-PL"/>
      </w:rPr>
    </w:pPr>
  </w:p>
  <w:p w:rsidR="00F23653" w:rsidRPr="00F23653" w:rsidRDefault="00F23653" w:rsidP="00F23653">
    <w:pPr>
      <w:spacing w:after="0" w:line="240" w:lineRule="auto"/>
      <w:rPr>
        <w:rFonts w:ascii="Tahoma" w:eastAsiaTheme="minorEastAsia" w:hAnsi="Tahoma" w:cs="Tahoma"/>
        <w:b/>
        <w:sz w:val="24"/>
        <w:szCs w:val="24"/>
        <w:lang w:eastAsia="pl-PL"/>
      </w:rPr>
    </w:pPr>
    <w:r w:rsidRPr="00F23653">
      <w:rPr>
        <w:rFonts w:ascii="Tahoma" w:eastAsiaTheme="minorEastAsia" w:hAnsi="Tahoma" w:cs="Tahoma"/>
        <w:b/>
        <w:sz w:val="24"/>
        <w:szCs w:val="24"/>
        <w:lang w:eastAsia="pl-PL"/>
      </w:rPr>
      <w:t>Zestawienie Parametrów technicznych i wymogów granicznych</w:t>
    </w:r>
  </w:p>
  <w:p w:rsidR="00F23653" w:rsidRDefault="00F236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D1"/>
    <w:rsid w:val="00085CD1"/>
    <w:rsid w:val="00104C0F"/>
    <w:rsid w:val="001A4B62"/>
    <w:rsid w:val="004B5EDB"/>
    <w:rsid w:val="0064092F"/>
    <w:rsid w:val="007C2FEE"/>
    <w:rsid w:val="00865513"/>
    <w:rsid w:val="00B71DDF"/>
    <w:rsid w:val="00C318DF"/>
    <w:rsid w:val="00E202C8"/>
    <w:rsid w:val="00F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557"/>
  <w15:chartTrackingRefBased/>
  <w15:docId w15:val="{A5CE123F-471D-45EE-A04D-BCCD39A2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653"/>
  </w:style>
  <w:style w:type="paragraph" w:styleId="Stopka">
    <w:name w:val="footer"/>
    <w:basedOn w:val="Normalny"/>
    <w:link w:val="StopkaZnak"/>
    <w:uiPriority w:val="99"/>
    <w:unhideWhenUsed/>
    <w:rsid w:val="00F2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Agnieszka Andrzejczak</cp:lastModifiedBy>
  <cp:revision>4</cp:revision>
  <dcterms:created xsi:type="dcterms:W3CDTF">2020-12-29T08:06:00Z</dcterms:created>
  <dcterms:modified xsi:type="dcterms:W3CDTF">2020-12-29T14:04:00Z</dcterms:modified>
</cp:coreProperties>
</file>