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B16E70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  <w:bookmarkStart w:id="0" w:name="_GoBack"/>
      <w:bookmarkEnd w:id="0"/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774FD0" w:rsidRPr="00E7004C">
        <w:rPr>
          <w:rFonts w:ascii="Tahoma" w:hAnsi="Tahoma" w:cs="Tahoma"/>
          <w:sz w:val="20"/>
          <w:szCs w:val="20"/>
          <w:lang w:eastAsia="pl-PL"/>
        </w:rPr>
        <w:t>Pieczęć</w:t>
      </w:r>
      <w:r w:rsidR="00FB0BD2">
        <w:rPr>
          <w:rFonts w:ascii="Tahoma" w:hAnsi="Tahoma" w:cs="Tahoma"/>
          <w:sz w:val="20"/>
          <w:szCs w:val="20"/>
          <w:lang w:eastAsia="pl-PL"/>
        </w:rPr>
        <w:t xml:space="preserve"> zamawiającego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Default="00EB633C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Pulsoksymetr</w:t>
      </w:r>
      <w:r w:rsidR="00E64EF4">
        <w:rPr>
          <w:rFonts w:ascii="Tahoma" w:hAnsi="Tahoma" w:cs="Tahoma"/>
          <w:lang w:eastAsia="pl-PL"/>
        </w:rPr>
        <w:t xml:space="preserve"> 1szt.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902"/>
        <w:gridCol w:w="2916"/>
        <w:gridCol w:w="2607"/>
      </w:tblGrid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9450F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Tr="00636E24">
        <w:tc>
          <w:tcPr>
            <w:tcW w:w="637" w:type="dxa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2" w:type="dxa"/>
            <w:vAlign w:val="center"/>
          </w:tcPr>
          <w:p w:rsidR="001940E4" w:rsidRPr="001940E4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916" w:type="dxa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7" w:type="dxa"/>
          </w:tcPr>
          <w:p w:rsidR="001940E4" w:rsidRPr="00774FD0" w:rsidRDefault="001940E4" w:rsidP="001940E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902" w:type="dxa"/>
            <w:vAlign w:val="center"/>
          </w:tcPr>
          <w:p w:rsidR="00636E24" w:rsidRPr="00636E24" w:rsidRDefault="00FB0BD2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</w:t>
            </w:r>
            <w:r w:rsidR="00636E24" w:rsidRPr="00636E24">
              <w:rPr>
                <w:rFonts w:asciiTheme="minorHAnsi" w:hAnsiTheme="minorHAnsi" w:cs="Arial"/>
                <w:sz w:val="20"/>
                <w:szCs w:val="20"/>
              </w:rPr>
              <w:t>, urządzenie fabrycznie nowe, nie rekondycjonowane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916" w:type="dxa"/>
            <w:vAlign w:val="center"/>
          </w:tcPr>
          <w:p w:rsidR="00636E24" w:rsidRPr="00636E24" w:rsidRDefault="00FB0BD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IP22</w:t>
            </w:r>
          </w:p>
        </w:tc>
        <w:tc>
          <w:tcPr>
            <w:tcW w:w="2607" w:type="dxa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636E24" w:rsidRPr="00636E24" w:rsidRDefault="00FB0BD2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2A7752" w:rsidRDefault="00FB0BD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75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  <w:vAlign w:val="center"/>
          </w:tcPr>
          <w:p w:rsidR="00636E24" w:rsidRPr="00A43B63" w:rsidRDefault="002A775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Pulsoksymetr –system monitowania saturacji SpO2 oraz tętna dzieci i dorosłych</w:t>
            </w:r>
          </w:p>
        </w:tc>
        <w:tc>
          <w:tcPr>
            <w:tcW w:w="2916" w:type="dxa"/>
            <w:vAlign w:val="center"/>
          </w:tcPr>
          <w:p w:rsidR="00636E24" w:rsidRPr="00A43B63" w:rsidRDefault="002A775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636E24" w:rsidRPr="002A7752" w:rsidRDefault="00636E24" w:rsidP="00636E2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FB0BD2" w:rsidTr="00636E24">
        <w:tc>
          <w:tcPr>
            <w:tcW w:w="637" w:type="dxa"/>
            <w:vAlign w:val="center"/>
          </w:tcPr>
          <w:p w:rsidR="00FB0BD2" w:rsidRPr="002A7752" w:rsidRDefault="00FB0BD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75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902" w:type="dxa"/>
            <w:vAlign w:val="center"/>
          </w:tcPr>
          <w:p w:rsidR="00FB0BD2" w:rsidRPr="00A43B63" w:rsidRDefault="002A775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Pulsoksymetr stacjonarno-transportowy z wbudowanym akumulatorem i zasilaczem sieciowym</w:t>
            </w:r>
          </w:p>
        </w:tc>
        <w:tc>
          <w:tcPr>
            <w:tcW w:w="2916" w:type="dxa"/>
            <w:vAlign w:val="center"/>
          </w:tcPr>
          <w:p w:rsidR="00FB0BD2" w:rsidRPr="00A43B63" w:rsidRDefault="002A775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FB0BD2" w:rsidRPr="002A7752" w:rsidRDefault="00FB0BD2" w:rsidP="00636E2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FB0BD2" w:rsidTr="00636E24">
        <w:tc>
          <w:tcPr>
            <w:tcW w:w="637" w:type="dxa"/>
            <w:vAlign w:val="center"/>
          </w:tcPr>
          <w:p w:rsidR="00FB0BD2" w:rsidRPr="002A7752" w:rsidRDefault="002A775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75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902" w:type="dxa"/>
            <w:vAlign w:val="center"/>
          </w:tcPr>
          <w:p w:rsidR="00FB0BD2" w:rsidRPr="00A43B63" w:rsidRDefault="002A775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Zasilanie 110-230 VAC, 50/60 Hz/ 125mA</w:t>
            </w:r>
          </w:p>
        </w:tc>
        <w:tc>
          <w:tcPr>
            <w:tcW w:w="2916" w:type="dxa"/>
            <w:vAlign w:val="center"/>
          </w:tcPr>
          <w:p w:rsidR="00FB0BD2" w:rsidRPr="00A43B63" w:rsidRDefault="002A775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FB0BD2" w:rsidRPr="002A7752" w:rsidRDefault="00FB0BD2" w:rsidP="00636E2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2A7752" w:rsidTr="00636E24">
        <w:tc>
          <w:tcPr>
            <w:tcW w:w="637" w:type="dxa"/>
            <w:vAlign w:val="center"/>
          </w:tcPr>
          <w:p w:rsidR="002A7752" w:rsidRPr="002A7752" w:rsidRDefault="002A775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752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902" w:type="dxa"/>
            <w:vAlign w:val="center"/>
          </w:tcPr>
          <w:p w:rsidR="002A7752" w:rsidRPr="00A43B63" w:rsidRDefault="002A775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Pojemność akumulatora minimum 18 godzin przy użyciu nowego, w pełni naładowanego akumulatora, czas ładowania ok. 4 godziny.</w:t>
            </w:r>
          </w:p>
        </w:tc>
        <w:tc>
          <w:tcPr>
            <w:tcW w:w="2916" w:type="dxa"/>
            <w:vAlign w:val="center"/>
          </w:tcPr>
          <w:p w:rsidR="002A7752" w:rsidRPr="00A43B63" w:rsidRDefault="002A775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2A7752" w:rsidRPr="002A7752" w:rsidRDefault="002A7752" w:rsidP="00636E2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2A7752" w:rsidTr="00636E24">
        <w:tc>
          <w:tcPr>
            <w:tcW w:w="637" w:type="dxa"/>
            <w:vAlign w:val="center"/>
          </w:tcPr>
          <w:p w:rsidR="002A7752" w:rsidRPr="002A7752" w:rsidRDefault="002A775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75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902" w:type="dxa"/>
            <w:vAlign w:val="center"/>
          </w:tcPr>
          <w:p w:rsidR="002A7752" w:rsidRPr="00A43B63" w:rsidRDefault="002A775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Waga maksymalna 350 g.</w:t>
            </w:r>
          </w:p>
        </w:tc>
        <w:tc>
          <w:tcPr>
            <w:tcW w:w="2916" w:type="dxa"/>
            <w:vAlign w:val="center"/>
          </w:tcPr>
          <w:p w:rsidR="002A7752" w:rsidRPr="00A43B63" w:rsidRDefault="002A775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2A7752" w:rsidRPr="002A7752" w:rsidRDefault="002A7752" w:rsidP="00636E2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2A7752" w:rsidTr="00636E24">
        <w:tc>
          <w:tcPr>
            <w:tcW w:w="637" w:type="dxa"/>
            <w:vAlign w:val="center"/>
          </w:tcPr>
          <w:p w:rsidR="002A7752" w:rsidRPr="002A7752" w:rsidRDefault="002A775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75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902" w:type="dxa"/>
            <w:vAlign w:val="center"/>
          </w:tcPr>
          <w:p w:rsidR="002A7752" w:rsidRPr="00A43B63" w:rsidRDefault="002A775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Menu w języku polskim</w:t>
            </w:r>
          </w:p>
        </w:tc>
        <w:tc>
          <w:tcPr>
            <w:tcW w:w="2916" w:type="dxa"/>
            <w:vAlign w:val="center"/>
          </w:tcPr>
          <w:p w:rsidR="002A7752" w:rsidRPr="00A43B63" w:rsidRDefault="002A775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2A7752" w:rsidRPr="002A7752" w:rsidRDefault="002A7752" w:rsidP="00636E2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2A7752" w:rsidTr="00636E24">
        <w:tc>
          <w:tcPr>
            <w:tcW w:w="637" w:type="dxa"/>
            <w:vAlign w:val="center"/>
          </w:tcPr>
          <w:p w:rsidR="002A7752" w:rsidRPr="002A7752" w:rsidRDefault="002A7752" w:rsidP="002A775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752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902" w:type="dxa"/>
            <w:vAlign w:val="center"/>
          </w:tcPr>
          <w:p w:rsidR="002A7752" w:rsidRPr="00A43B63" w:rsidRDefault="002A7752" w:rsidP="002A775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Nawigacja i sterowanie za pomocą podświetlanych przycisków</w:t>
            </w:r>
          </w:p>
        </w:tc>
        <w:tc>
          <w:tcPr>
            <w:tcW w:w="2916" w:type="dxa"/>
            <w:vAlign w:val="center"/>
          </w:tcPr>
          <w:p w:rsidR="002A7752" w:rsidRPr="00A43B63" w:rsidRDefault="002A7752" w:rsidP="002A77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2A7752" w:rsidRPr="002A7752" w:rsidRDefault="002A7752" w:rsidP="002A7752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2A7752" w:rsidTr="00636E24">
        <w:tc>
          <w:tcPr>
            <w:tcW w:w="637" w:type="dxa"/>
            <w:vAlign w:val="center"/>
          </w:tcPr>
          <w:p w:rsidR="002A7752" w:rsidRPr="002A7752" w:rsidRDefault="002A7752" w:rsidP="002A775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752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902" w:type="dxa"/>
            <w:vAlign w:val="center"/>
          </w:tcPr>
          <w:p w:rsidR="002A7752" w:rsidRPr="00A43B63" w:rsidRDefault="002A7752" w:rsidP="002A775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Zakres pomiaru saturacji: 1-100%</w:t>
            </w:r>
          </w:p>
        </w:tc>
        <w:tc>
          <w:tcPr>
            <w:tcW w:w="2916" w:type="dxa"/>
            <w:vAlign w:val="center"/>
          </w:tcPr>
          <w:p w:rsidR="002A7752" w:rsidRPr="00A43B63" w:rsidRDefault="002A7752" w:rsidP="002A77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2A7752" w:rsidRPr="002A7752" w:rsidRDefault="002A7752" w:rsidP="002A7752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2A7752" w:rsidTr="00636E24">
        <w:tc>
          <w:tcPr>
            <w:tcW w:w="637" w:type="dxa"/>
            <w:vAlign w:val="center"/>
          </w:tcPr>
          <w:p w:rsidR="002A7752" w:rsidRPr="002A7752" w:rsidRDefault="002A7752" w:rsidP="002A775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7752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902" w:type="dxa"/>
            <w:vAlign w:val="center"/>
          </w:tcPr>
          <w:p w:rsidR="002A7752" w:rsidRPr="00A43B63" w:rsidRDefault="002A7752" w:rsidP="002A775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Zakres częstości pulsu: 0-300min</w:t>
            </w:r>
          </w:p>
        </w:tc>
        <w:tc>
          <w:tcPr>
            <w:tcW w:w="2916" w:type="dxa"/>
            <w:vAlign w:val="center"/>
          </w:tcPr>
          <w:p w:rsidR="002A7752" w:rsidRPr="00A43B63" w:rsidRDefault="002A7752" w:rsidP="002A77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607" w:type="dxa"/>
            <w:vAlign w:val="bottom"/>
          </w:tcPr>
          <w:p w:rsidR="002A7752" w:rsidRPr="002A7752" w:rsidRDefault="002A7752" w:rsidP="002A7752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2A7752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Wskaźnik perfuzji: 0,1-20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2A7752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Dorośli: 70-100%, dokładność +/- 2 cyfry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2A7752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Częstość pulsu: 30-250 min, dokładność +/- 3 cyfry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2A7752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 xml:space="preserve">Kolorowy wyświetlacz 2,8” TFT prezentujący wszystkie  graficzne i numeryczne  </w:t>
            </w:r>
            <w:r w:rsidRPr="00A43B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informacje pacjenta oraz komunikaty Ostrzegawcze. 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2A7752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Wyświetlanie krzywej pletyzmografu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2A7752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 xml:space="preserve">Wyświetlanie SpO2 — bieżąca wartość  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2A7752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Wyświetlanie górnego i dolnego limitu alarmowego dla saturacji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2A7752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Wyświetlanie częstości tętna - bieżąca wartość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Wyświetlanie górnego i dolnego limitu alarmowego dla tętna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 xml:space="preserve">Wyświetlanie czasu 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Wyświetlanie ikony aktywnego alarmu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Wskaźnik zasilania sieciowego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Wskaźnik jakości sygnału – co najmniej trzy poziomu: Słaby, średni, dobry.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Indeks perfuzji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Wskaźnik czasu użycia, wskazujący jak długo czujnik SpO2 jest założony na tym samym miejscu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2A459A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2902" w:type="dxa"/>
            <w:vAlign w:val="bottom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Możliwość personalizacji urządzenia i wprowadzania danych pacjenta za pomocą oprogramowania PC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Pamięć danych maks. 96 godzin, z częstotliwością zapisu w granicach od 5 do 60 sekund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Trend pomiaru z co najmniej 3 ostatnich godzin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Alarm wizualny i dźwiękowy dla SpO2 powyżej dolnej granicy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Alarm dla odłączenia SpO2 czujnika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Alarm dla SpO2 zdjęcie czujnika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Alarm dla rozładowanej baterii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Alarm wizualny i dźwiękowy dla całkowicie  rozładowanej baterii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Możliwość  zawieszenia dźwięków alarmowych na 120 s. lub całkowite wyłączenie alarmów z jednoczasowym generowaniem alarmów wizualnych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Regulacja głośności dla alarmu, przycisku, pulsu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2A7752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902" w:type="dxa"/>
            <w:vAlign w:val="center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Możliwość ustawienia aparatu w pozycji pionowej i poziomej  rotacja ekranu.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1A464C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2902" w:type="dxa"/>
            <w:vAlign w:val="bottom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Stopień ochrony: IP54; udarność IK 05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1A464C">
        <w:tc>
          <w:tcPr>
            <w:tcW w:w="637" w:type="dxa"/>
            <w:vAlign w:val="center"/>
          </w:tcPr>
          <w:p w:rsidR="00A43B63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2902" w:type="dxa"/>
            <w:vAlign w:val="bottom"/>
          </w:tcPr>
          <w:p w:rsidR="00A43B63" w:rsidRPr="00A43B63" w:rsidRDefault="00A43B63" w:rsidP="00A43B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Ładowanie i transfer danych za pomocą portu mini-USB</w:t>
            </w:r>
          </w:p>
        </w:tc>
        <w:tc>
          <w:tcPr>
            <w:tcW w:w="2916" w:type="dxa"/>
            <w:vAlign w:val="center"/>
          </w:tcPr>
          <w:p w:rsidR="00A43B63" w:rsidRPr="00A43B63" w:rsidRDefault="00A43B63" w:rsidP="00A43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3B6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2A7752" w:rsidRDefault="00A43B63" w:rsidP="00A43B6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43B63" w:rsidTr="000F1C09">
        <w:tc>
          <w:tcPr>
            <w:tcW w:w="637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902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Informacje dodatkowe - warunki gwarancji i serwisu</w:t>
            </w:r>
          </w:p>
        </w:tc>
        <w:tc>
          <w:tcPr>
            <w:tcW w:w="2916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07" w:type="dxa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  <w:vAlign w:val="center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916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902" w:type="dxa"/>
            <w:vAlign w:val="center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2916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902" w:type="dxa"/>
            <w:vAlign w:val="center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916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902" w:type="dxa"/>
            <w:vAlign w:val="center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2916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902" w:type="dxa"/>
            <w:vAlign w:val="center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Czas oczekiwania na usun</w:t>
            </w:r>
            <w:r>
              <w:rPr>
                <w:rFonts w:asciiTheme="minorHAnsi" w:hAnsiTheme="minorHAnsi" w:cs="Arial"/>
                <w:sz w:val="20"/>
                <w:szCs w:val="20"/>
              </w:rPr>
              <w:t>ięcie uszkodzenia w dniach (do …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dni roboczych) </w:t>
            </w:r>
          </w:p>
        </w:tc>
        <w:tc>
          <w:tcPr>
            <w:tcW w:w="2916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902" w:type="dxa"/>
            <w:vAlign w:val="center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2916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podać </w:t>
            </w:r>
          </w:p>
        </w:tc>
        <w:tc>
          <w:tcPr>
            <w:tcW w:w="2607" w:type="dxa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43B63" w:rsidTr="00636E24">
        <w:tc>
          <w:tcPr>
            <w:tcW w:w="637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902" w:type="dxa"/>
            <w:vAlign w:val="center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916" w:type="dxa"/>
            <w:vAlign w:val="center"/>
          </w:tcPr>
          <w:p w:rsidR="00A43B63" w:rsidRPr="00636E24" w:rsidRDefault="00A43B63" w:rsidP="00A43B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Tak, podać dane adresowe, tel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, fax</w:t>
            </w:r>
          </w:p>
        </w:tc>
        <w:tc>
          <w:tcPr>
            <w:tcW w:w="2607" w:type="dxa"/>
          </w:tcPr>
          <w:p w:rsidR="00A43B63" w:rsidRPr="00636E24" w:rsidRDefault="00A43B63" w:rsidP="00A43B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E0814"/>
    <w:rsid w:val="001940E4"/>
    <w:rsid w:val="001D5427"/>
    <w:rsid w:val="00295A5B"/>
    <w:rsid w:val="002A7752"/>
    <w:rsid w:val="00303567"/>
    <w:rsid w:val="003C483F"/>
    <w:rsid w:val="00606AD5"/>
    <w:rsid w:val="00636E24"/>
    <w:rsid w:val="006A5E36"/>
    <w:rsid w:val="00763375"/>
    <w:rsid w:val="00774FD0"/>
    <w:rsid w:val="007E4D3B"/>
    <w:rsid w:val="00857BA0"/>
    <w:rsid w:val="008F4227"/>
    <w:rsid w:val="009450F4"/>
    <w:rsid w:val="009A5AC3"/>
    <w:rsid w:val="00A33D41"/>
    <w:rsid w:val="00A43B63"/>
    <w:rsid w:val="00A61540"/>
    <w:rsid w:val="00AE0129"/>
    <w:rsid w:val="00B16E70"/>
    <w:rsid w:val="00CF7148"/>
    <w:rsid w:val="00E64EF4"/>
    <w:rsid w:val="00E7004C"/>
    <w:rsid w:val="00EB633C"/>
    <w:rsid w:val="00EE6B6B"/>
    <w:rsid w:val="00F50C51"/>
    <w:rsid w:val="00F7083F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CD4E-3C0B-4BC0-BB4E-5B5A88BB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4</cp:revision>
  <dcterms:created xsi:type="dcterms:W3CDTF">2018-11-05T13:40:00Z</dcterms:created>
  <dcterms:modified xsi:type="dcterms:W3CDTF">2018-11-07T10:04:00Z</dcterms:modified>
</cp:coreProperties>
</file>